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507" w:rsidRPr="00E81787" w:rsidRDefault="00F31507" w:rsidP="0060443C">
      <w:pPr>
        <w:spacing w:line="360" w:lineRule="auto"/>
        <w:rPr>
          <w:rFonts w:cs="Arial"/>
          <w:b/>
        </w:rPr>
      </w:pPr>
    </w:p>
    <w:p w:rsidR="00FC09B4" w:rsidRPr="009712B6" w:rsidRDefault="00353021" w:rsidP="0060443C">
      <w:pPr>
        <w:spacing w:line="360" w:lineRule="auto"/>
        <w:jc w:val="center"/>
        <w:rPr>
          <w:rFonts w:cs="Arial"/>
          <w:b/>
          <w:sz w:val="32"/>
          <w:szCs w:val="32"/>
        </w:rPr>
      </w:pPr>
      <w:r w:rsidRPr="009712B6">
        <w:rPr>
          <w:rFonts w:cs="Arial"/>
          <w:b/>
          <w:sz w:val="32"/>
          <w:szCs w:val="32"/>
        </w:rPr>
        <w:t>Submission concerning the p</w:t>
      </w:r>
      <w:r w:rsidR="00A22C54" w:rsidRPr="009712B6">
        <w:rPr>
          <w:rFonts w:cs="Arial"/>
          <w:b/>
          <w:sz w:val="32"/>
          <w:szCs w:val="32"/>
        </w:rPr>
        <w:t>roposed regulation of Counsellors and Psychotherapists under the Health and Social Care Professionals Act 2005</w:t>
      </w:r>
    </w:p>
    <w:p w:rsidR="002D59F7" w:rsidRDefault="002D59F7" w:rsidP="00664A96">
      <w:pPr>
        <w:spacing w:line="360" w:lineRule="auto"/>
        <w:jc w:val="center"/>
        <w:rPr>
          <w:rFonts w:cs="Arial"/>
          <w:b/>
        </w:rPr>
      </w:pPr>
    </w:p>
    <w:p w:rsidR="002D59F7" w:rsidRDefault="002D59F7" w:rsidP="00664A96">
      <w:pPr>
        <w:spacing w:line="360" w:lineRule="auto"/>
        <w:jc w:val="center"/>
        <w:rPr>
          <w:rFonts w:cs="Arial"/>
          <w:b/>
        </w:rPr>
      </w:pPr>
    </w:p>
    <w:p w:rsidR="003E348F" w:rsidRDefault="00664A96" w:rsidP="00664A96">
      <w:pPr>
        <w:spacing w:line="360" w:lineRule="auto"/>
        <w:jc w:val="center"/>
        <w:rPr>
          <w:rFonts w:cs="Arial"/>
          <w:b/>
          <w:sz w:val="32"/>
          <w:szCs w:val="32"/>
        </w:rPr>
      </w:pPr>
      <w:r w:rsidRPr="00012278">
        <w:rPr>
          <w:rFonts w:cs="Arial"/>
          <w:b/>
          <w:sz w:val="32"/>
          <w:szCs w:val="32"/>
        </w:rPr>
        <w:t>On behalf of</w:t>
      </w:r>
      <w:r w:rsidR="00656B9B" w:rsidRPr="00012278">
        <w:rPr>
          <w:rFonts w:cs="Arial"/>
          <w:b/>
          <w:sz w:val="32"/>
          <w:szCs w:val="32"/>
        </w:rPr>
        <w:t xml:space="preserve"> </w:t>
      </w:r>
    </w:p>
    <w:p w:rsidR="00FB016D" w:rsidRPr="003C04AF" w:rsidRDefault="00942797" w:rsidP="00664A96">
      <w:pPr>
        <w:spacing w:line="360" w:lineRule="auto"/>
        <w:jc w:val="center"/>
        <w:rPr>
          <w:rFonts w:cs="Arial"/>
          <w:b/>
          <w:sz w:val="32"/>
          <w:szCs w:val="32"/>
        </w:rPr>
      </w:pPr>
      <w:r w:rsidRPr="003C04AF">
        <w:rPr>
          <w:rFonts w:cs="Arial"/>
          <w:b/>
          <w:sz w:val="32"/>
          <w:szCs w:val="32"/>
        </w:rPr>
        <w:t>Bodywhys</w:t>
      </w:r>
      <w:r w:rsidR="003E348F" w:rsidRPr="003C04AF">
        <w:rPr>
          <w:rFonts w:cs="Arial"/>
          <w:b/>
          <w:sz w:val="32"/>
          <w:szCs w:val="32"/>
        </w:rPr>
        <w:t>: The Eating Disorders Association of Ireland</w:t>
      </w:r>
    </w:p>
    <w:p w:rsidR="00664A96" w:rsidRDefault="00664A96" w:rsidP="0060443C">
      <w:pPr>
        <w:spacing w:line="360" w:lineRule="auto"/>
        <w:rPr>
          <w:rFonts w:cs="Arial"/>
        </w:rPr>
      </w:pPr>
    </w:p>
    <w:p w:rsidR="00664A96" w:rsidRPr="00E81787" w:rsidRDefault="00664A96" w:rsidP="00664A96">
      <w:pPr>
        <w:spacing w:line="360" w:lineRule="auto"/>
        <w:rPr>
          <w:rFonts w:cs="Arial"/>
        </w:rPr>
      </w:pPr>
      <w:r w:rsidRPr="00E81787">
        <w:rPr>
          <w:rFonts w:cs="Arial"/>
        </w:rPr>
        <w:t>Bodywhys: The Eating Disorders Association of Ireland</w:t>
      </w:r>
    </w:p>
    <w:p w:rsidR="001F1A8C" w:rsidRPr="00E81787" w:rsidRDefault="00370B5C" w:rsidP="0060443C">
      <w:pPr>
        <w:spacing w:line="360" w:lineRule="auto"/>
        <w:rPr>
          <w:rFonts w:cs="Arial"/>
        </w:rPr>
      </w:pPr>
      <w:r w:rsidRPr="00E81787">
        <w:rPr>
          <w:rFonts w:cs="Arial"/>
        </w:rPr>
        <w:t>PO Box 105</w:t>
      </w:r>
    </w:p>
    <w:p w:rsidR="001F1A8C" w:rsidRPr="00E81787" w:rsidRDefault="00370B5C" w:rsidP="0060443C">
      <w:pPr>
        <w:spacing w:line="360" w:lineRule="auto"/>
        <w:rPr>
          <w:rFonts w:cs="Arial"/>
        </w:rPr>
      </w:pPr>
      <w:r w:rsidRPr="00E81787">
        <w:rPr>
          <w:rFonts w:cs="Arial"/>
        </w:rPr>
        <w:t>Blackrock</w:t>
      </w:r>
    </w:p>
    <w:p w:rsidR="00370B5C" w:rsidRPr="00E81787" w:rsidRDefault="00370B5C" w:rsidP="0060443C">
      <w:pPr>
        <w:spacing w:line="360" w:lineRule="auto"/>
        <w:rPr>
          <w:rFonts w:cs="Arial"/>
        </w:rPr>
      </w:pPr>
      <w:r w:rsidRPr="00E81787">
        <w:rPr>
          <w:rFonts w:cs="Arial"/>
        </w:rPr>
        <w:t>Co. Dublin</w:t>
      </w:r>
    </w:p>
    <w:p w:rsidR="00353021" w:rsidRPr="00E81787" w:rsidRDefault="00353021" w:rsidP="0060443C">
      <w:pPr>
        <w:spacing w:line="360" w:lineRule="auto"/>
        <w:rPr>
          <w:rFonts w:cs="Arial"/>
        </w:rPr>
      </w:pPr>
      <w:r w:rsidRPr="00E81787">
        <w:rPr>
          <w:rFonts w:cs="Arial"/>
        </w:rPr>
        <w:t>01-2834963</w:t>
      </w:r>
    </w:p>
    <w:p w:rsidR="00CB26B6" w:rsidRPr="00E81787" w:rsidRDefault="008B59E3" w:rsidP="0060443C">
      <w:pPr>
        <w:spacing w:line="360" w:lineRule="auto"/>
        <w:rPr>
          <w:rFonts w:cs="Arial"/>
        </w:rPr>
      </w:pPr>
      <w:hyperlink r:id="rId9" w:history="1">
        <w:r w:rsidR="00CB26B6" w:rsidRPr="00E81787">
          <w:rPr>
            <w:rStyle w:val="Hyperlink"/>
            <w:rFonts w:cs="Arial"/>
          </w:rPr>
          <w:t>communications@bodywhys.ie</w:t>
        </w:r>
      </w:hyperlink>
    </w:p>
    <w:p w:rsidR="00680411" w:rsidRPr="00E81787" w:rsidRDefault="008B59E3" w:rsidP="0060443C">
      <w:pPr>
        <w:spacing w:line="360" w:lineRule="auto"/>
        <w:rPr>
          <w:rFonts w:cs="Arial"/>
          <w:b/>
        </w:rPr>
      </w:pPr>
      <w:hyperlink r:id="rId10" w:history="1">
        <w:r w:rsidR="008729E5" w:rsidRPr="00E81787">
          <w:rPr>
            <w:rStyle w:val="Hyperlink"/>
            <w:rFonts w:cs="Arial"/>
          </w:rPr>
          <w:t>www.bodywhys.ie</w:t>
        </w:r>
      </w:hyperlink>
    </w:p>
    <w:p w:rsidR="00E8318E" w:rsidRDefault="00680411" w:rsidP="0060443C">
      <w:pPr>
        <w:spacing w:line="360" w:lineRule="auto"/>
        <w:rPr>
          <w:rFonts w:cs="Arial"/>
        </w:rPr>
        <w:sectPr w:rsidR="00E8318E" w:rsidSect="00FC09B4">
          <w:headerReference w:type="even" r:id="rId11"/>
          <w:footerReference w:type="default" r:id="rId12"/>
          <w:headerReference w:type="first" r:id="rId13"/>
          <w:endnotePr>
            <w:numFmt w:val="decimal"/>
          </w:endnotePr>
          <w:pgSz w:w="11906" w:h="16838"/>
          <w:pgMar w:top="1440" w:right="1440" w:bottom="1440" w:left="1440" w:header="708" w:footer="708" w:gutter="0"/>
          <w:cols w:space="708"/>
          <w:docGrid w:linePitch="360"/>
        </w:sectPr>
      </w:pPr>
      <w:r w:rsidRPr="00E81787">
        <w:rPr>
          <w:rFonts w:cs="Arial"/>
        </w:rPr>
        <w:t xml:space="preserve">Date of submission: </w:t>
      </w:r>
      <w:r w:rsidR="00195992">
        <w:rPr>
          <w:rFonts w:cs="Arial"/>
        </w:rPr>
        <w:t>30</w:t>
      </w:r>
      <w:r w:rsidR="00C17F8B" w:rsidRPr="00E81787">
        <w:rPr>
          <w:rFonts w:cs="Arial"/>
        </w:rPr>
        <w:t>/</w:t>
      </w:r>
      <w:r w:rsidR="00303C13">
        <w:rPr>
          <w:rFonts w:cs="Arial"/>
        </w:rPr>
        <w:t>11</w:t>
      </w:r>
      <w:r w:rsidR="00C17F8B" w:rsidRPr="00E81787">
        <w:rPr>
          <w:rFonts w:cs="Arial"/>
        </w:rPr>
        <w:t>/16</w:t>
      </w:r>
    </w:p>
    <w:p w:rsidR="00E81787" w:rsidRPr="00E81787" w:rsidRDefault="00E81787" w:rsidP="0060443C">
      <w:pPr>
        <w:spacing w:line="360" w:lineRule="auto"/>
        <w:jc w:val="center"/>
        <w:rPr>
          <w:rFonts w:cs="Arial"/>
          <w:b/>
        </w:rPr>
      </w:pPr>
      <w:r w:rsidRPr="00E81787">
        <w:rPr>
          <w:rFonts w:cs="Arial"/>
          <w:b/>
        </w:rPr>
        <w:lastRenderedPageBreak/>
        <w:t>Introduction</w:t>
      </w:r>
    </w:p>
    <w:p w:rsidR="00000EB8" w:rsidRPr="00C87692" w:rsidRDefault="00EF45FF" w:rsidP="00000EB8">
      <w:pPr>
        <w:spacing w:line="360" w:lineRule="auto"/>
        <w:rPr>
          <w:rFonts w:cs="Arial"/>
          <w:lang w:val="en-GB"/>
        </w:rPr>
      </w:pPr>
      <w:r>
        <w:rPr>
          <w:rFonts w:cs="Arial"/>
          <w:lang w:val="en-GB"/>
        </w:rPr>
        <w:t>Bodywhys</w:t>
      </w:r>
      <w:r w:rsidR="001E55FF">
        <w:rPr>
          <w:rFonts w:cs="Arial"/>
          <w:lang w:val="en-GB"/>
        </w:rPr>
        <w:t xml:space="preserve"> -</w:t>
      </w:r>
      <w:r>
        <w:rPr>
          <w:rFonts w:cs="Arial"/>
          <w:lang w:val="en-GB"/>
        </w:rPr>
        <w:t xml:space="preserve"> T</w:t>
      </w:r>
      <w:r w:rsidR="00000EB8" w:rsidRPr="00C87692">
        <w:rPr>
          <w:rFonts w:cs="Arial"/>
          <w:lang w:val="en-GB"/>
        </w:rPr>
        <w:t>he Eating Disorders Association of Ireland</w:t>
      </w:r>
      <w:r w:rsidR="001E55FF">
        <w:rPr>
          <w:rFonts w:cs="Arial"/>
          <w:lang w:val="en-GB"/>
        </w:rPr>
        <w:t xml:space="preserve"> -</w:t>
      </w:r>
      <w:r w:rsidR="00000EB8" w:rsidRPr="00C87692">
        <w:rPr>
          <w:rFonts w:cs="Arial"/>
          <w:lang w:val="en-GB"/>
        </w:rPr>
        <w:t xml:space="preserve"> is the national voluntary organisation supporting people affected by eating disorders</w:t>
      </w:r>
      <w:r w:rsidR="00F40CDC">
        <w:rPr>
          <w:rFonts w:cs="Arial"/>
          <w:lang w:val="en-GB"/>
        </w:rPr>
        <w:t>, including friends and family</w:t>
      </w:r>
      <w:r w:rsidR="00090C34">
        <w:rPr>
          <w:rFonts w:cs="Arial"/>
          <w:lang w:val="en-GB"/>
        </w:rPr>
        <w:t xml:space="preserve"> members</w:t>
      </w:r>
      <w:r w:rsidR="00000EB8" w:rsidRPr="00C87692">
        <w:rPr>
          <w:rFonts w:cs="Arial"/>
          <w:lang w:val="en-GB"/>
        </w:rPr>
        <w:t xml:space="preserve">. Our work ranges from the provision of support services and information resources to the promotion of positive body image and media awareness in schools. </w:t>
      </w:r>
    </w:p>
    <w:p w:rsidR="00000EB8" w:rsidRDefault="00000EB8" w:rsidP="00000EB8">
      <w:pPr>
        <w:spacing w:line="360" w:lineRule="auto"/>
        <w:rPr>
          <w:rFonts w:cs="Arial"/>
          <w:szCs w:val="24"/>
        </w:rPr>
      </w:pPr>
      <w:r w:rsidRPr="00C87692">
        <w:rPr>
          <w:rFonts w:cs="Arial"/>
          <w:lang w:val="en-GB"/>
        </w:rPr>
        <w:t xml:space="preserve">As with any submission that forms part of this consultation, we are conscious of writing from a specific perspective and will focus comments on the areas which are relevant to the work that we do in the field of eating disorders. </w:t>
      </w:r>
      <w:r w:rsidRPr="00F441FE">
        <w:rPr>
          <w:rFonts w:cs="Arial"/>
          <w:szCs w:val="24"/>
        </w:rPr>
        <w:t>People affected by eating disorders, along with family members, frequently contact Bo</w:t>
      </w:r>
      <w:r w:rsidR="000D6C3C">
        <w:rPr>
          <w:rFonts w:cs="Arial"/>
          <w:szCs w:val="24"/>
        </w:rPr>
        <w:t xml:space="preserve">dywhys in relation to treatments </w:t>
      </w:r>
      <w:r w:rsidRPr="00F441FE">
        <w:rPr>
          <w:rFonts w:cs="Arial"/>
          <w:szCs w:val="24"/>
        </w:rPr>
        <w:t>and with questions about counselling and psychotherapy.</w:t>
      </w:r>
      <w:r>
        <w:rPr>
          <w:rFonts w:cs="Arial"/>
          <w:szCs w:val="24"/>
        </w:rPr>
        <w:t xml:space="preserve"> </w:t>
      </w:r>
      <w:r>
        <w:rPr>
          <w:rFonts w:cs="Arial"/>
          <w:lang w:val="en-GB"/>
        </w:rPr>
        <w:t xml:space="preserve">Bodywhys welcomes the opportunity to address the issue of the regulation of counselling and </w:t>
      </w:r>
      <w:r w:rsidRPr="00F441FE">
        <w:rPr>
          <w:rFonts w:cs="Arial"/>
          <w:szCs w:val="24"/>
        </w:rPr>
        <w:t>psychotherapy</w:t>
      </w:r>
      <w:r>
        <w:rPr>
          <w:rFonts w:cs="Arial"/>
          <w:lang w:val="en-GB"/>
        </w:rPr>
        <w:t>.</w:t>
      </w:r>
    </w:p>
    <w:p w:rsidR="00000EB8" w:rsidRDefault="00000EB8" w:rsidP="00000EB8">
      <w:pPr>
        <w:autoSpaceDE w:val="0"/>
        <w:autoSpaceDN w:val="0"/>
        <w:adjustRightInd w:val="0"/>
        <w:spacing w:after="0" w:line="360" w:lineRule="auto"/>
        <w:rPr>
          <w:rFonts w:cs="Arial"/>
          <w:szCs w:val="24"/>
        </w:rPr>
      </w:pPr>
    </w:p>
    <w:p w:rsidR="00000EB8" w:rsidRDefault="00000EB8" w:rsidP="00000EB8">
      <w:pPr>
        <w:spacing w:line="360" w:lineRule="auto"/>
        <w:rPr>
          <w:rFonts w:cs="Arial"/>
          <w:lang w:val="en-GB"/>
        </w:rPr>
      </w:pPr>
      <w:r>
        <w:rPr>
          <w:rFonts w:cs="Arial"/>
          <w:lang w:val="en-GB"/>
        </w:rPr>
        <w:t xml:space="preserve">In particular, </w:t>
      </w:r>
      <w:r w:rsidR="00577035">
        <w:rPr>
          <w:rFonts w:cs="Arial"/>
          <w:lang w:val="en-GB"/>
        </w:rPr>
        <w:t>the Bodywhys</w:t>
      </w:r>
      <w:r>
        <w:rPr>
          <w:rFonts w:cs="Arial"/>
          <w:lang w:val="en-GB"/>
        </w:rPr>
        <w:t xml:space="preserve"> submission addresses:</w:t>
      </w:r>
    </w:p>
    <w:p w:rsidR="00000EB8" w:rsidRDefault="00000EB8" w:rsidP="00000EB8">
      <w:pPr>
        <w:numPr>
          <w:ilvl w:val="0"/>
          <w:numId w:val="5"/>
        </w:numPr>
        <w:spacing w:line="360" w:lineRule="auto"/>
        <w:rPr>
          <w:rFonts w:cs="Arial"/>
          <w:lang w:val="en-GB"/>
        </w:rPr>
      </w:pPr>
      <w:r>
        <w:rPr>
          <w:rFonts w:cs="Arial"/>
          <w:lang w:val="en-GB"/>
        </w:rPr>
        <w:t>Eating disorders and associated risks</w:t>
      </w:r>
    </w:p>
    <w:p w:rsidR="00000EB8" w:rsidRDefault="00000EB8" w:rsidP="00000EB8">
      <w:pPr>
        <w:numPr>
          <w:ilvl w:val="0"/>
          <w:numId w:val="5"/>
        </w:numPr>
        <w:spacing w:line="360" w:lineRule="auto"/>
        <w:rPr>
          <w:rFonts w:cs="Arial"/>
          <w:lang w:val="en-GB"/>
        </w:rPr>
      </w:pPr>
      <w:r>
        <w:rPr>
          <w:rFonts w:cs="Arial"/>
          <w:lang w:val="en-GB"/>
        </w:rPr>
        <w:t>The role of counsellors and psychotherapists</w:t>
      </w:r>
    </w:p>
    <w:p w:rsidR="00000EB8" w:rsidRDefault="00000EB8" w:rsidP="00000EB8">
      <w:pPr>
        <w:numPr>
          <w:ilvl w:val="0"/>
          <w:numId w:val="5"/>
        </w:numPr>
        <w:spacing w:line="360" w:lineRule="auto"/>
        <w:rPr>
          <w:rFonts w:cs="Arial"/>
          <w:lang w:val="en-GB"/>
        </w:rPr>
      </w:pPr>
      <w:r>
        <w:rPr>
          <w:rFonts w:cs="Arial"/>
          <w:lang w:val="en-GB"/>
        </w:rPr>
        <w:t>Risks in the absence of regulation</w:t>
      </w:r>
    </w:p>
    <w:p w:rsidR="00000EB8" w:rsidRPr="00C87692" w:rsidRDefault="00000EB8" w:rsidP="00000EB8">
      <w:pPr>
        <w:numPr>
          <w:ilvl w:val="0"/>
          <w:numId w:val="5"/>
        </w:numPr>
        <w:spacing w:line="360" w:lineRule="auto"/>
        <w:rPr>
          <w:rFonts w:cs="Arial"/>
          <w:lang w:val="en-GB"/>
        </w:rPr>
      </w:pPr>
      <w:r>
        <w:rPr>
          <w:rFonts w:cs="Arial"/>
          <w:lang w:val="en-GB"/>
        </w:rPr>
        <w:t>Recommendations for regulation</w:t>
      </w:r>
    </w:p>
    <w:p w:rsidR="00000EB8" w:rsidRPr="00C87692" w:rsidRDefault="00000EB8" w:rsidP="00000EB8">
      <w:pPr>
        <w:spacing w:line="360" w:lineRule="auto"/>
        <w:rPr>
          <w:rFonts w:cs="Arial"/>
          <w:lang w:val="en-GB"/>
        </w:rPr>
      </w:pPr>
      <w:r>
        <w:rPr>
          <w:rFonts w:cs="Arial"/>
          <w:lang w:val="en-GB"/>
        </w:rPr>
        <w:t>Individuals working in this field may work directly with people affected by eating disorders, including children, adolescents, adults and family members. It is vital that practitioners are appropriately trained, qualified and accredited and sufficiently skilled in dealing with the serious and complex challenges associated with eating disorders.</w:t>
      </w:r>
    </w:p>
    <w:p w:rsidR="00000EB8" w:rsidRPr="00C87692" w:rsidRDefault="00000EB8" w:rsidP="00000EB8">
      <w:pPr>
        <w:spacing w:line="360" w:lineRule="auto"/>
        <w:rPr>
          <w:rFonts w:cs="Arial"/>
          <w:lang w:val="en-GB"/>
        </w:rPr>
      </w:pPr>
    </w:p>
    <w:p w:rsidR="00000EB8" w:rsidRPr="00C87692" w:rsidRDefault="00000EB8" w:rsidP="00000EB8">
      <w:pPr>
        <w:spacing w:line="360" w:lineRule="auto"/>
        <w:jc w:val="right"/>
        <w:rPr>
          <w:rFonts w:cs="Arial"/>
          <w:lang w:val="en-GB"/>
        </w:rPr>
      </w:pPr>
      <w:r>
        <w:rPr>
          <w:rFonts w:cs="Arial"/>
          <w:lang w:val="en-GB"/>
        </w:rPr>
        <w:t>Yours sincerely</w:t>
      </w:r>
      <w:r w:rsidRPr="00C87692">
        <w:rPr>
          <w:rFonts w:cs="Arial"/>
          <w:lang w:val="en-GB"/>
        </w:rPr>
        <w:t>,</w:t>
      </w:r>
    </w:p>
    <w:p w:rsidR="00000EB8" w:rsidRPr="00C87692" w:rsidRDefault="00000EB8" w:rsidP="00000EB8">
      <w:pPr>
        <w:pStyle w:val="NoSpacing"/>
        <w:spacing w:line="360" w:lineRule="auto"/>
        <w:jc w:val="right"/>
        <w:rPr>
          <w:rFonts w:ascii="Arial" w:hAnsi="Arial" w:cs="Arial"/>
          <w:sz w:val="24"/>
          <w:lang w:val="en-GB"/>
        </w:rPr>
      </w:pPr>
      <w:r>
        <w:rPr>
          <w:rFonts w:ascii="Arial" w:hAnsi="Arial" w:cs="Arial"/>
          <w:sz w:val="24"/>
          <w:lang w:val="en-GB"/>
        </w:rPr>
        <w:t>Barry Murphy</w:t>
      </w:r>
    </w:p>
    <w:p w:rsidR="00000EB8" w:rsidRPr="006C06DE" w:rsidRDefault="00000EB8" w:rsidP="00000EB8">
      <w:pPr>
        <w:pStyle w:val="NoSpacing"/>
        <w:spacing w:line="360" w:lineRule="auto"/>
        <w:jc w:val="right"/>
        <w:rPr>
          <w:rFonts w:ascii="Arial" w:hAnsi="Arial" w:cs="Arial"/>
          <w:b/>
          <w:sz w:val="24"/>
          <w:szCs w:val="24"/>
          <w:lang w:val="en-GB"/>
        </w:rPr>
      </w:pPr>
      <w:r w:rsidRPr="006C06DE">
        <w:rPr>
          <w:rFonts w:ascii="Arial" w:hAnsi="Arial" w:cs="Arial"/>
          <w:b/>
          <w:sz w:val="24"/>
          <w:szCs w:val="24"/>
          <w:lang w:val="en-GB"/>
        </w:rPr>
        <w:t>Communications Officer</w:t>
      </w:r>
    </w:p>
    <w:p w:rsidR="009019B3" w:rsidRDefault="009019B3" w:rsidP="0060443C">
      <w:pPr>
        <w:autoSpaceDE w:val="0"/>
        <w:autoSpaceDN w:val="0"/>
        <w:adjustRightInd w:val="0"/>
        <w:spacing w:after="0" w:line="360" w:lineRule="auto"/>
        <w:rPr>
          <w:rFonts w:cs="Arial"/>
          <w:szCs w:val="24"/>
        </w:rPr>
      </w:pPr>
    </w:p>
    <w:p w:rsidR="00A22C54" w:rsidRPr="00E81787" w:rsidRDefault="00195992" w:rsidP="00A2736E">
      <w:pPr>
        <w:jc w:val="center"/>
        <w:rPr>
          <w:rFonts w:cs="Arial"/>
          <w:b/>
        </w:rPr>
      </w:pPr>
      <w:r>
        <w:rPr>
          <w:rFonts w:cs="Arial"/>
          <w:b/>
        </w:rPr>
        <w:br w:type="page"/>
      </w:r>
      <w:r w:rsidR="00761223" w:rsidRPr="00E81787">
        <w:rPr>
          <w:rFonts w:cs="Arial"/>
          <w:b/>
        </w:rPr>
        <w:lastRenderedPageBreak/>
        <w:t>About Eating Disorders</w:t>
      </w:r>
    </w:p>
    <w:p w:rsidR="0052107C" w:rsidRPr="00E81787" w:rsidRDefault="00302A07" w:rsidP="0060443C">
      <w:pPr>
        <w:spacing w:line="360" w:lineRule="auto"/>
        <w:rPr>
          <w:rFonts w:cs="Arial"/>
          <w:szCs w:val="24"/>
        </w:rPr>
      </w:pPr>
      <w:r w:rsidRPr="00E81787">
        <w:rPr>
          <w:rFonts w:cs="Arial"/>
        </w:rPr>
        <w:t>Up to 200,000 people in Ireland may be affected by eating disorders with 400 new cases emerging each year, representing 80 deaths annually.</w:t>
      </w:r>
      <w:r w:rsidRPr="00E81787">
        <w:rPr>
          <w:rStyle w:val="EndnoteReference"/>
          <w:rFonts w:cs="Arial"/>
        </w:rPr>
        <w:endnoteReference w:id="1"/>
      </w:r>
      <w:r w:rsidR="00801AFC">
        <w:rPr>
          <w:rFonts w:cs="Arial"/>
        </w:rPr>
        <w:t xml:space="preserve"> </w:t>
      </w:r>
      <w:r w:rsidR="00107878">
        <w:rPr>
          <w:rFonts w:cs="Arial"/>
        </w:rPr>
        <w:t xml:space="preserve">According to the Health Research Board, in 2015, </w:t>
      </w:r>
      <w:r w:rsidR="00141860" w:rsidRPr="00141860">
        <w:rPr>
          <w:rFonts w:cs="Arial"/>
        </w:rPr>
        <w:t xml:space="preserve">12% of all admissions for </w:t>
      </w:r>
      <w:proofErr w:type="gramStart"/>
      <w:r w:rsidR="00141860" w:rsidRPr="00141860">
        <w:rPr>
          <w:rFonts w:cs="Arial"/>
        </w:rPr>
        <w:t>under</w:t>
      </w:r>
      <w:proofErr w:type="gramEnd"/>
      <w:r w:rsidR="00141860" w:rsidRPr="00141860">
        <w:rPr>
          <w:rFonts w:cs="Arial"/>
        </w:rPr>
        <w:t xml:space="preserve"> 18s to Irish psychiatric units and hospitals had a primary diagnosis of eating disorders</w:t>
      </w:r>
      <w:r w:rsidR="00141860">
        <w:rPr>
          <w:rFonts w:cs="Arial"/>
        </w:rPr>
        <w:t>.</w:t>
      </w:r>
      <w:r w:rsidR="00455C0E">
        <w:rPr>
          <w:rStyle w:val="EndnoteReference"/>
          <w:rFonts w:cs="Arial"/>
        </w:rPr>
        <w:endnoteReference w:id="2"/>
      </w:r>
      <w:r w:rsidR="00141860" w:rsidRPr="00141860">
        <w:rPr>
          <w:rFonts w:cs="Arial"/>
        </w:rPr>
        <w:t xml:space="preserve"> </w:t>
      </w:r>
      <w:r w:rsidR="00374828" w:rsidRPr="00E81787">
        <w:rPr>
          <w:rFonts w:cs="Arial"/>
          <w:szCs w:val="24"/>
        </w:rPr>
        <w:t>E</w:t>
      </w:r>
      <w:r w:rsidR="00761223" w:rsidRPr="00E81787">
        <w:rPr>
          <w:rFonts w:cs="Arial"/>
          <w:szCs w:val="24"/>
        </w:rPr>
        <w:t>ating disorder</w:t>
      </w:r>
      <w:r w:rsidR="00374828" w:rsidRPr="00E81787">
        <w:rPr>
          <w:rFonts w:cs="Arial"/>
          <w:szCs w:val="24"/>
        </w:rPr>
        <w:t xml:space="preserve">s are </w:t>
      </w:r>
      <w:r w:rsidR="00761223" w:rsidRPr="00E81787">
        <w:rPr>
          <w:rFonts w:cs="Arial"/>
          <w:szCs w:val="24"/>
        </w:rPr>
        <w:t xml:space="preserve">serious and complex mental </w:t>
      </w:r>
      <w:r w:rsidR="006458C7" w:rsidRPr="00E81787">
        <w:rPr>
          <w:rFonts w:cs="Arial"/>
          <w:szCs w:val="24"/>
        </w:rPr>
        <w:t>health problems. They</w:t>
      </w:r>
      <w:r w:rsidR="00F2766A">
        <w:rPr>
          <w:rFonts w:cs="Arial"/>
          <w:szCs w:val="24"/>
        </w:rPr>
        <w:t xml:space="preserve"> </w:t>
      </w:r>
      <w:r w:rsidR="00BA08FF" w:rsidRPr="00E81787">
        <w:rPr>
          <w:rFonts w:cs="Arial"/>
          <w:szCs w:val="24"/>
        </w:rPr>
        <w:t>often</w:t>
      </w:r>
      <w:r w:rsidR="00F2766A">
        <w:rPr>
          <w:rFonts w:cs="Arial"/>
          <w:szCs w:val="24"/>
        </w:rPr>
        <w:t xml:space="preserve"> </w:t>
      </w:r>
      <w:r w:rsidR="003D7EA4" w:rsidRPr="00E81787">
        <w:rPr>
          <w:rFonts w:cs="Arial"/>
          <w:szCs w:val="24"/>
        </w:rPr>
        <w:t>feature</w:t>
      </w:r>
      <w:r w:rsidR="00820EA2">
        <w:rPr>
          <w:rFonts w:cs="Arial"/>
          <w:szCs w:val="24"/>
        </w:rPr>
        <w:t xml:space="preserve"> severe </w:t>
      </w:r>
      <w:r w:rsidR="00761223" w:rsidRPr="00E81787">
        <w:rPr>
          <w:rFonts w:cs="Arial"/>
          <w:szCs w:val="24"/>
        </w:rPr>
        <w:t>disturbances in a person’s thought processes and their relationship with food, their body and weight. This may lead to significant complications for a person’s quality of life, and in their physical and mental health</w:t>
      </w:r>
      <w:r w:rsidRPr="00E81787">
        <w:rPr>
          <w:rFonts w:cs="Arial"/>
          <w:szCs w:val="24"/>
        </w:rPr>
        <w:t xml:space="preserve">. </w:t>
      </w:r>
      <w:r w:rsidR="005B3F48">
        <w:rPr>
          <w:rFonts w:cs="Arial"/>
          <w:szCs w:val="24"/>
        </w:rPr>
        <w:t>Full recovery is possible, but</w:t>
      </w:r>
      <w:r w:rsidR="00691C05">
        <w:rPr>
          <w:rFonts w:cs="Arial"/>
          <w:szCs w:val="24"/>
        </w:rPr>
        <w:t xml:space="preserve"> it</w:t>
      </w:r>
      <w:r w:rsidR="00E50ED7">
        <w:rPr>
          <w:rFonts w:cs="Arial"/>
          <w:szCs w:val="24"/>
        </w:rPr>
        <w:t xml:space="preserve"> is often a complex process</w:t>
      </w:r>
      <w:r w:rsidR="002271E9">
        <w:rPr>
          <w:rFonts w:cs="Arial"/>
          <w:szCs w:val="24"/>
        </w:rPr>
        <w:t xml:space="preserve"> and a</w:t>
      </w:r>
      <w:r w:rsidR="00E054CA">
        <w:rPr>
          <w:rFonts w:cs="Arial"/>
          <w:szCs w:val="24"/>
        </w:rPr>
        <w:t xml:space="preserve">n individual’s support needs can vary </w:t>
      </w:r>
      <w:r w:rsidR="00DE3092">
        <w:rPr>
          <w:rFonts w:cs="Arial"/>
          <w:szCs w:val="24"/>
        </w:rPr>
        <w:t xml:space="preserve">from </w:t>
      </w:r>
      <w:r w:rsidR="00E054CA">
        <w:rPr>
          <w:rFonts w:cs="Arial"/>
          <w:szCs w:val="24"/>
        </w:rPr>
        <w:t>person-to-person.</w:t>
      </w:r>
      <w:r w:rsidR="005B3F48">
        <w:rPr>
          <w:rFonts w:cs="Arial"/>
          <w:szCs w:val="24"/>
        </w:rPr>
        <w:t xml:space="preserve"> </w:t>
      </w:r>
    </w:p>
    <w:p w:rsidR="008C5E38" w:rsidRPr="00E81787" w:rsidRDefault="008C5E38" w:rsidP="0060443C">
      <w:pPr>
        <w:spacing w:line="360" w:lineRule="auto"/>
        <w:jc w:val="center"/>
        <w:rPr>
          <w:rFonts w:cs="Arial"/>
          <w:b/>
          <w:szCs w:val="24"/>
        </w:rPr>
      </w:pPr>
      <w:r w:rsidRPr="00E81787">
        <w:rPr>
          <w:rFonts w:cs="Arial"/>
          <w:b/>
          <w:szCs w:val="24"/>
        </w:rPr>
        <w:t>Risks</w:t>
      </w:r>
    </w:p>
    <w:p w:rsidR="00F1270B" w:rsidRPr="00E81787" w:rsidRDefault="00F31507" w:rsidP="0060443C">
      <w:pPr>
        <w:spacing w:line="360" w:lineRule="auto"/>
        <w:rPr>
          <w:rFonts w:cs="Arial"/>
          <w:szCs w:val="24"/>
        </w:rPr>
      </w:pPr>
      <w:r w:rsidRPr="00E81787">
        <w:rPr>
          <w:rFonts w:cs="Arial"/>
          <w:szCs w:val="24"/>
        </w:rPr>
        <w:t xml:space="preserve">Individuals affected by eating disorders </w:t>
      </w:r>
      <w:r w:rsidR="00814DAA" w:rsidRPr="00E81787">
        <w:rPr>
          <w:rFonts w:cs="Arial"/>
          <w:szCs w:val="24"/>
        </w:rPr>
        <w:t>may be</w:t>
      </w:r>
      <w:r w:rsidRPr="00E81787">
        <w:rPr>
          <w:rFonts w:cs="Arial"/>
          <w:szCs w:val="24"/>
        </w:rPr>
        <w:t xml:space="preserve"> at risk</w:t>
      </w:r>
      <w:r w:rsidR="0065401F" w:rsidRPr="00E81787">
        <w:rPr>
          <w:rFonts w:cs="Arial"/>
          <w:szCs w:val="24"/>
        </w:rPr>
        <w:t xml:space="preserve"> in</w:t>
      </w:r>
      <w:r w:rsidRPr="00E81787">
        <w:rPr>
          <w:rFonts w:cs="Arial"/>
          <w:szCs w:val="24"/>
        </w:rPr>
        <w:t xml:space="preserve"> terms of their own safety.</w:t>
      </w:r>
      <w:r w:rsidRPr="00E81787">
        <w:rPr>
          <w:rStyle w:val="EndnoteReference"/>
          <w:rFonts w:cs="Arial"/>
          <w:szCs w:val="24"/>
        </w:rPr>
        <w:endnoteReference w:id="3"/>
      </w:r>
      <w:r w:rsidRPr="00E81787">
        <w:rPr>
          <w:rFonts w:cs="Arial"/>
          <w:szCs w:val="24"/>
        </w:rPr>
        <w:t xml:space="preserve"> This may include medically, psychologically, psychosocially and their capacity for insight and motivation</w:t>
      </w:r>
      <w:r w:rsidR="005C5107" w:rsidRPr="00E81787">
        <w:rPr>
          <w:rFonts w:cs="Arial"/>
          <w:szCs w:val="24"/>
        </w:rPr>
        <w:t xml:space="preserve">. </w:t>
      </w:r>
      <w:r w:rsidR="00D74381" w:rsidRPr="00E81787">
        <w:rPr>
          <w:rFonts w:cs="Arial"/>
          <w:szCs w:val="24"/>
        </w:rPr>
        <w:t>Eating diso</w:t>
      </w:r>
      <w:r w:rsidR="00EA721D" w:rsidRPr="00E81787">
        <w:rPr>
          <w:rFonts w:cs="Arial"/>
          <w:szCs w:val="24"/>
        </w:rPr>
        <w:t xml:space="preserve">rders can also lead to risk in terms of mortality and </w:t>
      </w:r>
      <w:proofErr w:type="gramStart"/>
      <w:r w:rsidR="00EA721D" w:rsidRPr="00E81787">
        <w:rPr>
          <w:rFonts w:cs="Arial"/>
          <w:szCs w:val="24"/>
        </w:rPr>
        <w:t>suicidality.</w:t>
      </w:r>
      <w:r w:rsidR="00C96D72" w:rsidRPr="00E81787">
        <w:rPr>
          <w:rStyle w:val="EndnoteReference"/>
          <w:rFonts w:cs="Arial"/>
          <w:szCs w:val="24"/>
        </w:rPr>
        <w:endnoteReference w:id="4"/>
      </w:r>
      <w:r w:rsidR="007D3D52" w:rsidRPr="00E81787">
        <w:rPr>
          <w:rFonts w:cs="Arial"/>
          <w:szCs w:val="24"/>
        </w:rPr>
        <w:t>,</w:t>
      </w:r>
      <w:proofErr w:type="gramEnd"/>
      <w:r w:rsidR="007D3D52" w:rsidRPr="00E81787">
        <w:rPr>
          <w:rStyle w:val="EndnoteReference"/>
          <w:rFonts w:cs="Arial"/>
          <w:szCs w:val="24"/>
        </w:rPr>
        <w:endnoteReference w:id="5"/>
      </w:r>
      <w:r w:rsidR="00B904C3">
        <w:rPr>
          <w:rFonts w:cs="Arial"/>
          <w:szCs w:val="24"/>
        </w:rPr>
        <w:t xml:space="preserve"> </w:t>
      </w:r>
      <w:r w:rsidR="00796A3D" w:rsidRPr="00E81787">
        <w:rPr>
          <w:rFonts w:cs="Arial"/>
          <w:szCs w:val="24"/>
        </w:rPr>
        <w:t xml:space="preserve">Individuals </w:t>
      </w:r>
      <w:r w:rsidR="00F1270B" w:rsidRPr="00E81787">
        <w:rPr>
          <w:rFonts w:cs="Arial"/>
          <w:szCs w:val="24"/>
        </w:rPr>
        <w:t>affected by eating disorde</w:t>
      </w:r>
      <w:r w:rsidR="00A74CF1" w:rsidRPr="00E81787">
        <w:rPr>
          <w:rFonts w:cs="Arial"/>
          <w:szCs w:val="24"/>
        </w:rPr>
        <w:t>rs may be extremely vulnerable</w:t>
      </w:r>
      <w:r w:rsidR="0032495F" w:rsidRPr="00E81787">
        <w:rPr>
          <w:rFonts w:cs="Arial"/>
          <w:szCs w:val="24"/>
        </w:rPr>
        <w:t>,</w:t>
      </w:r>
      <w:r w:rsidR="00F1270B" w:rsidRPr="00E81787">
        <w:rPr>
          <w:rFonts w:cs="Arial"/>
          <w:szCs w:val="24"/>
        </w:rPr>
        <w:t xml:space="preserve"> at risk or in crisis. In severe cases, immediate and ongoing medical intervention and supervision may be required. </w:t>
      </w:r>
    </w:p>
    <w:p w:rsidR="00291180" w:rsidRPr="00E81787" w:rsidRDefault="007045B3" w:rsidP="0060443C">
      <w:pPr>
        <w:spacing w:line="360" w:lineRule="auto"/>
        <w:rPr>
          <w:rFonts w:cs="Arial"/>
          <w:szCs w:val="24"/>
        </w:rPr>
      </w:pPr>
      <w:r w:rsidRPr="00E81787">
        <w:rPr>
          <w:rFonts w:cs="Arial"/>
          <w:szCs w:val="24"/>
        </w:rPr>
        <w:t xml:space="preserve">Individuals affected by eating disorders may present with </w:t>
      </w:r>
      <w:r w:rsidR="004D1940" w:rsidRPr="00E81787">
        <w:rPr>
          <w:rFonts w:cs="Arial"/>
          <w:szCs w:val="24"/>
        </w:rPr>
        <w:t>additional</w:t>
      </w:r>
      <w:r w:rsidRPr="00E81787">
        <w:rPr>
          <w:rFonts w:cs="Arial"/>
          <w:szCs w:val="24"/>
        </w:rPr>
        <w:t xml:space="preserve"> issues such as</w:t>
      </w:r>
      <w:r w:rsidR="00291180" w:rsidRPr="00E81787">
        <w:rPr>
          <w:rFonts w:cs="Arial"/>
          <w:szCs w:val="24"/>
        </w:rPr>
        <w:t>:</w:t>
      </w:r>
    </w:p>
    <w:p w:rsidR="00291180" w:rsidRPr="00E81787" w:rsidRDefault="00291180" w:rsidP="0060443C">
      <w:pPr>
        <w:pStyle w:val="ListParagraph"/>
        <w:numPr>
          <w:ilvl w:val="0"/>
          <w:numId w:val="2"/>
        </w:numPr>
        <w:spacing w:line="360" w:lineRule="auto"/>
        <w:rPr>
          <w:rFonts w:cs="Arial"/>
          <w:szCs w:val="24"/>
        </w:rPr>
      </w:pPr>
      <w:r w:rsidRPr="00E81787">
        <w:rPr>
          <w:rFonts w:cs="Arial"/>
          <w:szCs w:val="24"/>
        </w:rPr>
        <w:t>Anxiety</w:t>
      </w:r>
      <w:r w:rsidR="00554B68" w:rsidRPr="00E81787">
        <w:rPr>
          <w:rStyle w:val="EndnoteReference"/>
          <w:rFonts w:cs="Arial"/>
          <w:szCs w:val="24"/>
        </w:rPr>
        <w:endnoteReference w:id="6"/>
      </w:r>
      <w:r w:rsidR="003D0523" w:rsidRPr="00E81787">
        <w:rPr>
          <w:rFonts w:cs="Arial"/>
          <w:szCs w:val="24"/>
        </w:rPr>
        <w:t>,</w:t>
      </w:r>
      <w:r w:rsidR="003362C2" w:rsidRPr="00E81787">
        <w:rPr>
          <w:rStyle w:val="EndnoteReference"/>
          <w:rFonts w:cs="Arial"/>
          <w:szCs w:val="24"/>
        </w:rPr>
        <w:endnoteReference w:id="7"/>
      </w:r>
      <w:r w:rsidR="008D0520" w:rsidRPr="00E81787">
        <w:rPr>
          <w:rFonts w:cs="Arial"/>
          <w:szCs w:val="24"/>
        </w:rPr>
        <w:t>,</w:t>
      </w:r>
      <w:r w:rsidR="0072058E" w:rsidRPr="00E81787">
        <w:rPr>
          <w:rStyle w:val="EndnoteReference"/>
          <w:rFonts w:cs="Arial"/>
          <w:szCs w:val="24"/>
        </w:rPr>
        <w:endnoteReference w:id="8"/>
      </w:r>
    </w:p>
    <w:p w:rsidR="00291180" w:rsidRPr="00E81787" w:rsidRDefault="00291180" w:rsidP="0060443C">
      <w:pPr>
        <w:pStyle w:val="ListParagraph"/>
        <w:numPr>
          <w:ilvl w:val="0"/>
          <w:numId w:val="2"/>
        </w:numPr>
        <w:spacing w:line="360" w:lineRule="auto"/>
        <w:rPr>
          <w:rFonts w:cs="Arial"/>
          <w:szCs w:val="24"/>
        </w:rPr>
      </w:pPr>
      <w:r w:rsidRPr="00E81787">
        <w:rPr>
          <w:rFonts w:cs="Arial"/>
          <w:szCs w:val="24"/>
        </w:rPr>
        <w:t>D</w:t>
      </w:r>
      <w:r w:rsidR="00027272" w:rsidRPr="00E81787">
        <w:rPr>
          <w:rFonts w:cs="Arial"/>
          <w:szCs w:val="24"/>
        </w:rPr>
        <w:t>epression</w:t>
      </w:r>
      <w:r w:rsidR="00027272" w:rsidRPr="00E81787">
        <w:rPr>
          <w:rStyle w:val="EndnoteReference"/>
          <w:rFonts w:cs="Arial"/>
          <w:szCs w:val="24"/>
        </w:rPr>
        <w:endnoteReference w:id="9"/>
      </w:r>
      <w:r w:rsidR="00027272" w:rsidRPr="00E81787">
        <w:rPr>
          <w:rFonts w:cs="Arial"/>
          <w:szCs w:val="24"/>
        </w:rPr>
        <w:t>,</w:t>
      </w:r>
      <w:r w:rsidR="00027272" w:rsidRPr="00E81787">
        <w:rPr>
          <w:rStyle w:val="EndnoteReference"/>
          <w:rFonts w:cs="Arial"/>
          <w:szCs w:val="24"/>
        </w:rPr>
        <w:endnoteReference w:id="10"/>
      </w:r>
      <w:r w:rsidR="00027272" w:rsidRPr="00E81787">
        <w:rPr>
          <w:rFonts w:cs="Arial"/>
          <w:szCs w:val="24"/>
        </w:rPr>
        <w:t>,</w:t>
      </w:r>
      <w:r w:rsidR="00027272" w:rsidRPr="00E81787">
        <w:rPr>
          <w:rStyle w:val="EndnoteReference"/>
          <w:rFonts w:cs="Arial"/>
          <w:szCs w:val="24"/>
        </w:rPr>
        <w:endnoteReference w:id="11"/>
      </w:r>
    </w:p>
    <w:p w:rsidR="00237EC1" w:rsidRPr="00237EC1" w:rsidRDefault="002C40D5" w:rsidP="0060443C">
      <w:pPr>
        <w:pStyle w:val="ListParagraph"/>
        <w:numPr>
          <w:ilvl w:val="0"/>
          <w:numId w:val="2"/>
        </w:numPr>
        <w:spacing w:line="360" w:lineRule="auto"/>
        <w:rPr>
          <w:rFonts w:cs="Arial"/>
          <w:szCs w:val="24"/>
        </w:rPr>
      </w:pPr>
      <w:r w:rsidRPr="00E81787">
        <w:rPr>
          <w:rFonts w:cs="Arial"/>
          <w:szCs w:val="24"/>
        </w:rPr>
        <w:t>S</w:t>
      </w:r>
      <w:r w:rsidR="007045B3" w:rsidRPr="00E81787">
        <w:rPr>
          <w:rFonts w:cs="Arial"/>
          <w:szCs w:val="24"/>
        </w:rPr>
        <w:t>elf-harm</w:t>
      </w:r>
      <w:r w:rsidR="007045B3" w:rsidRPr="00E81787">
        <w:rPr>
          <w:rStyle w:val="EndnoteReference"/>
          <w:rFonts w:cs="Arial"/>
          <w:szCs w:val="24"/>
        </w:rPr>
        <w:endnoteReference w:id="12"/>
      </w:r>
      <w:r w:rsidR="007045B3" w:rsidRPr="00E81787">
        <w:rPr>
          <w:rFonts w:cs="Arial"/>
          <w:szCs w:val="24"/>
        </w:rPr>
        <w:t>,</w:t>
      </w:r>
      <w:r w:rsidR="007045B3" w:rsidRPr="00E81787">
        <w:rPr>
          <w:rStyle w:val="EndnoteReference"/>
          <w:rFonts w:cs="Arial"/>
        </w:rPr>
        <w:endnoteReference w:id="13"/>
      </w:r>
      <w:r w:rsidR="007045B3" w:rsidRPr="00E81787">
        <w:rPr>
          <w:rFonts w:cs="Arial"/>
          <w:szCs w:val="24"/>
        </w:rPr>
        <w:t>,</w:t>
      </w:r>
      <w:r w:rsidR="007045B3" w:rsidRPr="00E81787">
        <w:rPr>
          <w:rStyle w:val="EndnoteReference"/>
          <w:rFonts w:cs="Arial"/>
        </w:rPr>
        <w:endnoteReference w:id="14"/>
      </w:r>
      <w:r w:rsidR="007045B3" w:rsidRPr="00E81787">
        <w:rPr>
          <w:rFonts w:cs="Arial"/>
          <w:szCs w:val="24"/>
        </w:rPr>
        <w:t>,</w:t>
      </w:r>
      <w:r w:rsidR="007045B3" w:rsidRPr="00E81787">
        <w:rPr>
          <w:rStyle w:val="EndnoteReference"/>
          <w:rFonts w:cs="Arial"/>
        </w:rPr>
        <w:endnoteReference w:id="15"/>
      </w:r>
      <w:r w:rsidR="007045B3" w:rsidRPr="00E81787">
        <w:rPr>
          <w:rFonts w:cs="Arial"/>
          <w:szCs w:val="24"/>
        </w:rPr>
        <w:t>,</w:t>
      </w:r>
      <w:r w:rsidR="007045B3" w:rsidRPr="00E81787">
        <w:rPr>
          <w:rStyle w:val="EndnoteReference"/>
          <w:rFonts w:cs="Arial"/>
        </w:rPr>
        <w:endnoteReference w:id="16"/>
      </w:r>
      <w:r w:rsidR="007045B3" w:rsidRPr="00E81787">
        <w:rPr>
          <w:rFonts w:cs="Arial"/>
          <w:szCs w:val="24"/>
        </w:rPr>
        <w:t>,</w:t>
      </w:r>
      <w:r w:rsidR="007045B3" w:rsidRPr="00E81787">
        <w:rPr>
          <w:rStyle w:val="EndnoteReference"/>
          <w:rFonts w:cs="Arial"/>
        </w:rPr>
        <w:endnoteReference w:id="17"/>
      </w:r>
    </w:p>
    <w:p w:rsidR="007045B3" w:rsidRPr="00237EC1" w:rsidRDefault="005C3074" w:rsidP="0060443C">
      <w:pPr>
        <w:pStyle w:val="ListParagraph"/>
        <w:numPr>
          <w:ilvl w:val="0"/>
          <w:numId w:val="2"/>
        </w:numPr>
        <w:spacing w:line="360" w:lineRule="auto"/>
        <w:rPr>
          <w:rFonts w:cs="Arial"/>
          <w:szCs w:val="24"/>
        </w:rPr>
      </w:pPr>
      <w:r>
        <w:rPr>
          <w:rFonts w:cs="Arial"/>
        </w:rPr>
        <w:t>Suicidal</w:t>
      </w:r>
      <w:r w:rsidR="00237EC1" w:rsidRPr="00237EC1">
        <w:rPr>
          <w:rFonts w:cs="Arial"/>
        </w:rPr>
        <w:t xml:space="preserve"> ideation</w:t>
      </w:r>
      <w:r w:rsidR="00341DFA">
        <w:rPr>
          <w:rFonts w:cs="Arial"/>
        </w:rPr>
        <w:t xml:space="preserve"> </w:t>
      </w:r>
      <w:r>
        <w:rPr>
          <w:rFonts w:cs="Arial"/>
          <w:szCs w:val="24"/>
        </w:rPr>
        <w:t>and behaviour</w:t>
      </w:r>
      <w:r w:rsidR="00304396">
        <w:rPr>
          <w:rStyle w:val="EndnoteReference"/>
          <w:rFonts w:cs="Arial"/>
          <w:szCs w:val="24"/>
        </w:rPr>
        <w:endnoteReference w:id="18"/>
      </w:r>
      <w:r w:rsidR="00817C5F">
        <w:rPr>
          <w:rFonts w:cs="Arial"/>
          <w:szCs w:val="24"/>
        </w:rPr>
        <w:t>,</w:t>
      </w:r>
      <w:r w:rsidR="00A02851">
        <w:rPr>
          <w:rStyle w:val="EndnoteReference"/>
          <w:rFonts w:cs="Arial"/>
          <w:szCs w:val="24"/>
        </w:rPr>
        <w:endnoteReference w:id="19"/>
      </w:r>
    </w:p>
    <w:p w:rsidR="009C7EBA" w:rsidRPr="00E81787" w:rsidRDefault="00391E50" w:rsidP="0060443C">
      <w:pPr>
        <w:spacing w:line="360" w:lineRule="auto"/>
        <w:jc w:val="center"/>
        <w:rPr>
          <w:rFonts w:cs="Arial"/>
          <w:b/>
          <w:szCs w:val="24"/>
        </w:rPr>
      </w:pPr>
      <w:r w:rsidRPr="00E81787">
        <w:rPr>
          <w:rFonts w:cs="Arial"/>
          <w:b/>
          <w:szCs w:val="24"/>
        </w:rPr>
        <w:t>Role</w:t>
      </w:r>
      <w:r w:rsidR="00795622" w:rsidRPr="00E81787">
        <w:rPr>
          <w:rFonts w:cs="Arial"/>
          <w:b/>
          <w:szCs w:val="24"/>
        </w:rPr>
        <w:t xml:space="preserve"> of</w:t>
      </w:r>
      <w:r w:rsidR="00341DFA">
        <w:rPr>
          <w:rFonts w:cs="Arial"/>
          <w:b/>
          <w:szCs w:val="24"/>
        </w:rPr>
        <w:t xml:space="preserve"> </w:t>
      </w:r>
      <w:r w:rsidR="009C7EBA" w:rsidRPr="00E81787">
        <w:rPr>
          <w:rFonts w:cs="Arial"/>
          <w:b/>
          <w:szCs w:val="24"/>
        </w:rPr>
        <w:t>Counsellors and Psychotherapists</w:t>
      </w:r>
    </w:p>
    <w:p w:rsidR="00F64E55" w:rsidRPr="00055BCF" w:rsidRDefault="008B2077" w:rsidP="0060443C">
      <w:pPr>
        <w:spacing w:line="360" w:lineRule="auto"/>
        <w:rPr>
          <w:rFonts w:cs="Arial"/>
          <w:strike/>
          <w:szCs w:val="24"/>
        </w:rPr>
      </w:pPr>
      <w:r w:rsidRPr="00055BCF">
        <w:rPr>
          <w:rFonts w:cs="Arial"/>
          <w:szCs w:val="24"/>
        </w:rPr>
        <w:t>Professionally</w:t>
      </w:r>
      <w:r w:rsidR="002F64F0" w:rsidRPr="00055BCF">
        <w:rPr>
          <w:rFonts w:cs="Arial"/>
          <w:szCs w:val="24"/>
        </w:rPr>
        <w:t xml:space="preserve"> trained</w:t>
      </w:r>
      <w:r w:rsidR="004B228A" w:rsidRPr="00055BCF">
        <w:rPr>
          <w:rFonts w:cs="Arial"/>
          <w:szCs w:val="24"/>
        </w:rPr>
        <w:t xml:space="preserve"> </w:t>
      </w:r>
      <w:r w:rsidR="002F64F0" w:rsidRPr="00055BCF">
        <w:rPr>
          <w:rFonts w:cs="Arial"/>
          <w:szCs w:val="24"/>
        </w:rPr>
        <w:t>c</w:t>
      </w:r>
      <w:r w:rsidR="006264E6" w:rsidRPr="00055BCF">
        <w:rPr>
          <w:rFonts w:cs="Arial"/>
          <w:szCs w:val="24"/>
        </w:rPr>
        <w:t xml:space="preserve">ounsellors and psychotherapists play a </w:t>
      </w:r>
      <w:r w:rsidR="00076A50" w:rsidRPr="00055BCF">
        <w:rPr>
          <w:rFonts w:cs="Arial"/>
          <w:szCs w:val="24"/>
        </w:rPr>
        <w:t xml:space="preserve">crucial </w:t>
      </w:r>
      <w:r w:rsidR="006264E6" w:rsidRPr="00055BCF">
        <w:rPr>
          <w:rFonts w:cs="Arial"/>
          <w:szCs w:val="24"/>
        </w:rPr>
        <w:t xml:space="preserve">role in </w:t>
      </w:r>
      <w:r w:rsidR="00076A50" w:rsidRPr="00055BCF">
        <w:rPr>
          <w:rFonts w:cs="Arial"/>
          <w:szCs w:val="24"/>
        </w:rPr>
        <w:t>treating</w:t>
      </w:r>
      <w:r w:rsidR="006264E6" w:rsidRPr="00055BCF">
        <w:rPr>
          <w:rFonts w:cs="Arial"/>
          <w:szCs w:val="24"/>
        </w:rPr>
        <w:t xml:space="preserve"> a person </w:t>
      </w:r>
      <w:r w:rsidR="002F35C4" w:rsidRPr="00055BCF">
        <w:rPr>
          <w:rFonts w:cs="Arial"/>
          <w:szCs w:val="24"/>
        </w:rPr>
        <w:t>affected by an eating</w:t>
      </w:r>
      <w:r w:rsidR="00162BF3" w:rsidRPr="00055BCF">
        <w:rPr>
          <w:rFonts w:cs="Arial"/>
          <w:szCs w:val="24"/>
        </w:rPr>
        <w:t xml:space="preserve"> disorder</w:t>
      </w:r>
      <w:r w:rsidR="00760977" w:rsidRPr="00055BCF">
        <w:rPr>
          <w:rFonts w:cs="Arial"/>
          <w:szCs w:val="24"/>
        </w:rPr>
        <w:t xml:space="preserve">. </w:t>
      </w:r>
      <w:r w:rsidR="002D2F2F">
        <w:rPr>
          <w:rFonts w:cs="Arial"/>
          <w:szCs w:val="24"/>
        </w:rPr>
        <w:t xml:space="preserve">Psychotherapeutic </w:t>
      </w:r>
      <w:r w:rsidR="00076A50" w:rsidRPr="00055BCF">
        <w:rPr>
          <w:rFonts w:cs="Arial"/>
          <w:szCs w:val="24"/>
        </w:rPr>
        <w:t>treatment</w:t>
      </w:r>
      <w:r w:rsidR="00EB68C7" w:rsidRPr="00055BCF">
        <w:rPr>
          <w:rFonts w:cs="Arial"/>
          <w:szCs w:val="24"/>
        </w:rPr>
        <w:t>s</w:t>
      </w:r>
      <w:r w:rsidR="00076A50" w:rsidRPr="00055BCF">
        <w:rPr>
          <w:rFonts w:cs="Arial"/>
          <w:szCs w:val="24"/>
        </w:rPr>
        <w:t xml:space="preserve">, which differ depending on the theoretical background and training of the psychotherapist, </w:t>
      </w:r>
      <w:r w:rsidR="00EB68C7" w:rsidRPr="00055BCF">
        <w:rPr>
          <w:rFonts w:cs="Arial"/>
          <w:szCs w:val="24"/>
        </w:rPr>
        <w:t>are</w:t>
      </w:r>
      <w:r w:rsidR="00076A50" w:rsidRPr="00055BCF">
        <w:rPr>
          <w:rFonts w:cs="Arial"/>
          <w:szCs w:val="24"/>
        </w:rPr>
        <w:t xml:space="preserve"> the treatment</w:t>
      </w:r>
      <w:r w:rsidR="00EB68C7" w:rsidRPr="00055BCF">
        <w:rPr>
          <w:rFonts w:cs="Arial"/>
          <w:szCs w:val="24"/>
        </w:rPr>
        <w:t>s</w:t>
      </w:r>
      <w:r w:rsidR="00076A50" w:rsidRPr="00055BCF">
        <w:rPr>
          <w:rFonts w:cs="Arial"/>
          <w:szCs w:val="24"/>
        </w:rPr>
        <w:t xml:space="preserve"> of choice for people </w:t>
      </w:r>
      <w:r w:rsidR="008657E9" w:rsidRPr="00055BCF">
        <w:rPr>
          <w:rFonts w:cs="Arial"/>
          <w:szCs w:val="24"/>
        </w:rPr>
        <w:t>affected by</w:t>
      </w:r>
      <w:r w:rsidR="00C6029B" w:rsidRPr="00055BCF">
        <w:rPr>
          <w:rFonts w:cs="Arial"/>
          <w:szCs w:val="24"/>
        </w:rPr>
        <w:t xml:space="preserve"> eating disorders. It is well-</w:t>
      </w:r>
      <w:r w:rsidR="00076A50" w:rsidRPr="00055BCF">
        <w:rPr>
          <w:rFonts w:cs="Arial"/>
          <w:szCs w:val="24"/>
        </w:rPr>
        <w:t xml:space="preserve">documented that medical treatment alone is rarely sufficient </w:t>
      </w:r>
      <w:r w:rsidR="00CE3436" w:rsidRPr="00055BCF">
        <w:rPr>
          <w:rFonts w:cs="Arial"/>
          <w:szCs w:val="24"/>
        </w:rPr>
        <w:t>in promoting</w:t>
      </w:r>
      <w:r w:rsidR="00076A50" w:rsidRPr="00055BCF">
        <w:rPr>
          <w:rFonts w:cs="Arial"/>
          <w:szCs w:val="24"/>
        </w:rPr>
        <w:t xml:space="preserve"> </w:t>
      </w:r>
      <w:r w:rsidR="00C45F08" w:rsidRPr="00055BCF">
        <w:rPr>
          <w:rFonts w:cs="Arial"/>
          <w:szCs w:val="24"/>
        </w:rPr>
        <w:t>full</w:t>
      </w:r>
      <w:r w:rsidR="0005330B" w:rsidRPr="00055BCF">
        <w:rPr>
          <w:rFonts w:cs="Arial"/>
          <w:szCs w:val="24"/>
        </w:rPr>
        <w:t xml:space="preserve"> </w:t>
      </w:r>
      <w:r w:rsidR="00FA415C" w:rsidRPr="00055BCF">
        <w:rPr>
          <w:rFonts w:cs="Arial"/>
          <w:szCs w:val="24"/>
        </w:rPr>
        <w:t>recovery</w:t>
      </w:r>
      <w:r w:rsidR="00076A50" w:rsidRPr="00055BCF">
        <w:rPr>
          <w:rFonts w:cs="Arial"/>
          <w:szCs w:val="24"/>
        </w:rPr>
        <w:t xml:space="preserve"> and any </w:t>
      </w:r>
      <w:r w:rsidR="00076A50" w:rsidRPr="00055BCF">
        <w:rPr>
          <w:rFonts w:cs="Arial"/>
          <w:szCs w:val="24"/>
        </w:rPr>
        <w:lastRenderedPageBreak/>
        <w:t>treatment strategy or treatment programme always involves the person with the eating disorder working with a trained and qualifie</w:t>
      </w:r>
      <w:r w:rsidR="002D2F2F">
        <w:rPr>
          <w:rFonts w:cs="Arial"/>
          <w:szCs w:val="24"/>
        </w:rPr>
        <w:t xml:space="preserve">d </w:t>
      </w:r>
      <w:r w:rsidR="00EB68C7" w:rsidRPr="00055BCF">
        <w:rPr>
          <w:rFonts w:cs="Arial"/>
          <w:szCs w:val="24"/>
        </w:rPr>
        <w:t xml:space="preserve">psychotherapist. </w:t>
      </w:r>
    </w:p>
    <w:p w:rsidR="003C1F39" w:rsidRDefault="00625171" w:rsidP="0060443C">
      <w:pPr>
        <w:spacing w:line="360" w:lineRule="auto"/>
        <w:rPr>
          <w:rFonts w:cs="Arial"/>
          <w:szCs w:val="24"/>
        </w:rPr>
      </w:pPr>
      <w:r w:rsidRPr="000F5D70">
        <w:rPr>
          <w:rFonts w:cs="Arial"/>
          <w:szCs w:val="24"/>
        </w:rPr>
        <w:t>A</w:t>
      </w:r>
      <w:r w:rsidR="00EB68C7" w:rsidRPr="000F5D70">
        <w:rPr>
          <w:rFonts w:cs="Arial"/>
          <w:szCs w:val="24"/>
        </w:rPr>
        <w:t xml:space="preserve"> counsellor or psychotherapist must be </w:t>
      </w:r>
      <w:r w:rsidR="009349EA">
        <w:rPr>
          <w:rFonts w:cs="Arial"/>
          <w:szCs w:val="24"/>
        </w:rPr>
        <w:t>appropriately</w:t>
      </w:r>
      <w:r w:rsidR="00EB68C7" w:rsidRPr="000F5D70">
        <w:rPr>
          <w:rFonts w:cs="Arial"/>
          <w:szCs w:val="24"/>
        </w:rPr>
        <w:t xml:space="preserve"> qualified, accredited and have the experience and expertise to deal with serious psychological and psychiatric disorder</w:t>
      </w:r>
      <w:r w:rsidR="006C049A">
        <w:rPr>
          <w:rFonts w:cs="Arial"/>
          <w:szCs w:val="24"/>
        </w:rPr>
        <w:t>s</w:t>
      </w:r>
      <w:r w:rsidR="00EB68C7" w:rsidRPr="000F5D70">
        <w:rPr>
          <w:rFonts w:cs="Arial"/>
          <w:szCs w:val="24"/>
        </w:rPr>
        <w:t xml:space="preserve"> such as the eating disorders </w:t>
      </w:r>
      <w:r w:rsidR="00122D25">
        <w:rPr>
          <w:rFonts w:cs="Arial"/>
          <w:szCs w:val="24"/>
        </w:rPr>
        <w:t xml:space="preserve">categorised </w:t>
      </w:r>
      <w:r w:rsidR="00EB68C7" w:rsidRPr="000F5D70">
        <w:rPr>
          <w:rFonts w:cs="Arial"/>
          <w:szCs w:val="24"/>
        </w:rPr>
        <w:t xml:space="preserve">in the </w:t>
      </w:r>
      <w:r w:rsidR="00A22B9A" w:rsidRPr="00A22B9A">
        <w:rPr>
          <w:rFonts w:cs="Arial"/>
          <w:szCs w:val="24"/>
        </w:rPr>
        <w:t>Diagnostic and Statistical Manual of Mental Disorders</w:t>
      </w:r>
      <w:r w:rsidR="007F0A06">
        <w:rPr>
          <w:rFonts w:cs="Arial"/>
          <w:szCs w:val="24"/>
        </w:rPr>
        <w:t xml:space="preserve"> 5</w:t>
      </w:r>
      <w:r w:rsidR="00A22B9A" w:rsidRPr="00A22B9A">
        <w:rPr>
          <w:rFonts w:cs="Arial"/>
          <w:szCs w:val="24"/>
        </w:rPr>
        <w:t xml:space="preserve"> (DSM</w:t>
      </w:r>
      <w:r w:rsidR="007F0A06">
        <w:rPr>
          <w:rFonts w:cs="Arial"/>
          <w:szCs w:val="24"/>
        </w:rPr>
        <w:t>-5</w:t>
      </w:r>
      <w:r w:rsidR="00A22B9A">
        <w:rPr>
          <w:rFonts w:cs="Arial"/>
          <w:szCs w:val="24"/>
        </w:rPr>
        <w:t>)</w:t>
      </w:r>
      <w:r w:rsidR="00EB68C7" w:rsidRPr="000F5D70">
        <w:rPr>
          <w:rFonts w:cs="Arial"/>
          <w:szCs w:val="24"/>
        </w:rPr>
        <w:t>.</w:t>
      </w:r>
      <w:r w:rsidR="00136B98">
        <w:rPr>
          <w:rStyle w:val="EndnoteReference"/>
          <w:rFonts w:cs="Arial"/>
          <w:szCs w:val="24"/>
        </w:rPr>
        <w:endnoteReference w:id="20"/>
      </w:r>
      <w:r w:rsidR="00EB68C7" w:rsidRPr="000F5D70">
        <w:rPr>
          <w:rFonts w:cs="Arial"/>
          <w:szCs w:val="24"/>
        </w:rPr>
        <w:t xml:space="preserve"> </w:t>
      </w:r>
    </w:p>
    <w:p w:rsidR="006264E6" w:rsidRPr="000F5D70" w:rsidRDefault="00EB68C7" w:rsidP="0060443C">
      <w:pPr>
        <w:spacing w:line="360" w:lineRule="auto"/>
        <w:rPr>
          <w:rFonts w:cs="Arial"/>
          <w:szCs w:val="24"/>
        </w:rPr>
      </w:pPr>
      <w:r w:rsidRPr="000F5D70">
        <w:rPr>
          <w:rFonts w:cs="Arial"/>
          <w:szCs w:val="24"/>
        </w:rPr>
        <w:t>The potential damage and wasted opportunities that an unqualified or inexperienced counsellor or psychotherapist can incur if they work with someone with a serious psychiatric disorder is imme</w:t>
      </w:r>
      <w:r w:rsidR="00442439">
        <w:rPr>
          <w:rFonts w:cs="Arial"/>
          <w:szCs w:val="24"/>
        </w:rPr>
        <w:t>nse. A</w:t>
      </w:r>
      <w:r w:rsidRPr="000F5D70">
        <w:rPr>
          <w:rFonts w:cs="Arial"/>
          <w:szCs w:val="24"/>
        </w:rPr>
        <w:t>s such</w:t>
      </w:r>
      <w:r w:rsidR="00895880">
        <w:rPr>
          <w:rFonts w:cs="Arial"/>
          <w:szCs w:val="24"/>
        </w:rPr>
        <w:t>,</w:t>
      </w:r>
      <w:r w:rsidRPr="000F5D70">
        <w:rPr>
          <w:rFonts w:cs="Arial"/>
          <w:szCs w:val="24"/>
        </w:rPr>
        <w:t xml:space="preserve"> Bodywhys </w:t>
      </w:r>
      <w:r w:rsidR="006063F4" w:rsidRPr="000F5D70">
        <w:rPr>
          <w:rFonts w:cs="Arial"/>
          <w:szCs w:val="24"/>
        </w:rPr>
        <w:t>endorses</w:t>
      </w:r>
      <w:r w:rsidRPr="000F5D70">
        <w:rPr>
          <w:rFonts w:cs="Arial"/>
          <w:szCs w:val="24"/>
        </w:rPr>
        <w:t xml:space="preserve"> and recommends the regulation of the fields of counselling and psychotherapy to the highest standard.</w:t>
      </w:r>
    </w:p>
    <w:p w:rsidR="00B54032" w:rsidRPr="00206C62" w:rsidRDefault="00EB68C7" w:rsidP="0060443C">
      <w:pPr>
        <w:spacing w:line="360" w:lineRule="auto"/>
        <w:rPr>
          <w:rFonts w:cs="Arial"/>
          <w:strike/>
          <w:szCs w:val="24"/>
        </w:rPr>
      </w:pPr>
      <w:r w:rsidRPr="00206C62">
        <w:rPr>
          <w:rFonts w:cs="Arial"/>
          <w:szCs w:val="24"/>
        </w:rPr>
        <w:t xml:space="preserve">To state clearly, Bodywhys is concerned with the following </w:t>
      </w:r>
      <w:r w:rsidR="000E4511" w:rsidRPr="00206C62">
        <w:rPr>
          <w:rFonts w:cs="Arial"/>
          <w:szCs w:val="24"/>
        </w:rPr>
        <w:t xml:space="preserve">two major </w:t>
      </w:r>
      <w:r w:rsidRPr="00206C62">
        <w:rPr>
          <w:rFonts w:cs="Arial"/>
          <w:szCs w:val="24"/>
        </w:rPr>
        <w:t xml:space="preserve">risks </w:t>
      </w:r>
      <w:r w:rsidR="000A7F26" w:rsidRPr="00206C62">
        <w:rPr>
          <w:rFonts w:cs="Arial"/>
          <w:szCs w:val="24"/>
        </w:rPr>
        <w:t xml:space="preserve">in the absence of regulation: </w:t>
      </w:r>
    </w:p>
    <w:p w:rsidR="007433A4" w:rsidRPr="00E81787" w:rsidRDefault="002B6BAD" w:rsidP="0060443C">
      <w:pPr>
        <w:pStyle w:val="ListParagraph"/>
        <w:numPr>
          <w:ilvl w:val="0"/>
          <w:numId w:val="1"/>
        </w:numPr>
        <w:spacing w:line="360" w:lineRule="auto"/>
        <w:rPr>
          <w:rFonts w:cs="Arial"/>
          <w:szCs w:val="24"/>
        </w:rPr>
      </w:pPr>
      <w:r>
        <w:rPr>
          <w:rFonts w:cs="Arial"/>
          <w:szCs w:val="24"/>
        </w:rPr>
        <w:t xml:space="preserve">Risk 1: </w:t>
      </w:r>
      <w:r w:rsidR="00B54032" w:rsidRPr="002B6BAD">
        <w:rPr>
          <w:rFonts w:cs="Arial"/>
          <w:szCs w:val="24"/>
        </w:rPr>
        <w:t>The</w:t>
      </w:r>
      <w:r w:rsidR="00A216E5" w:rsidRPr="002B6BAD">
        <w:rPr>
          <w:rFonts w:cs="Arial"/>
          <w:szCs w:val="24"/>
        </w:rPr>
        <w:t xml:space="preserve"> current</w:t>
      </w:r>
      <w:r w:rsidR="00B54032" w:rsidRPr="00E81787">
        <w:rPr>
          <w:rFonts w:cs="Arial"/>
          <w:szCs w:val="24"/>
        </w:rPr>
        <w:t xml:space="preserve"> lack of regulation in </w:t>
      </w:r>
      <w:r w:rsidR="008710C1" w:rsidRPr="00E81787">
        <w:rPr>
          <w:rFonts w:cs="Arial"/>
          <w:szCs w:val="24"/>
        </w:rPr>
        <w:t>the area of counselling and psychotherapy</w:t>
      </w:r>
      <w:r>
        <w:rPr>
          <w:rFonts w:cs="Arial"/>
          <w:szCs w:val="24"/>
        </w:rPr>
        <w:t xml:space="preserve"> </w:t>
      </w:r>
      <w:r w:rsidRPr="008B1BE0">
        <w:rPr>
          <w:rFonts w:cs="Arial"/>
          <w:szCs w:val="24"/>
        </w:rPr>
        <w:t xml:space="preserve">has resulted in many poorly qualified, and inexperienced </w:t>
      </w:r>
      <w:r w:rsidR="00BB7F46" w:rsidRPr="008B1BE0">
        <w:rPr>
          <w:rFonts w:cs="Arial"/>
          <w:szCs w:val="24"/>
        </w:rPr>
        <w:t xml:space="preserve">practitioners </w:t>
      </w:r>
      <w:r w:rsidR="00E62CC4" w:rsidRPr="008B1BE0">
        <w:rPr>
          <w:rFonts w:cs="Arial"/>
          <w:szCs w:val="24"/>
        </w:rPr>
        <w:t>self-identifying as</w:t>
      </w:r>
      <w:r w:rsidRPr="008B1BE0">
        <w:rPr>
          <w:rFonts w:cs="Arial"/>
          <w:szCs w:val="24"/>
        </w:rPr>
        <w:t xml:space="preserve"> ‘counsellors’ or ‘</w:t>
      </w:r>
      <w:r w:rsidR="000E4511" w:rsidRPr="008B1BE0">
        <w:rPr>
          <w:rFonts w:cs="Arial"/>
          <w:szCs w:val="24"/>
        </w:rPr>
        <w:t>psychotherapists</w:t>
      </w:r>
      <w:r w:rsidRPr="008B1BE0">
        <w:rPr>
          <w:rFonts w:cs="Arial"/>
          <w:szCs w:val="24"/>
        </w:rPr>
        <w:t xml:space="preserve">’, working with people who are seriously and dangerously mentally ill, in turn risking exacerbating the person’s </w:t>
      </w:r>
      <w:r w:rsidR="000E4511" w:rsidRPr="008B1BE0">
        <w:rPr>
          <w:rFonts w:cs="Arial"/>
          <w:szCs w:val="24"/>
        </w:rPr>
        <w:t xml:space="preserve">problems and causing detrimental damage to their </w:t>
      </w:r>
      <w:r w:rsidR="0038763A" w:rsidRPr="008B1BE0">
        <w:rPr>
          <w:rFonts w:cs="Arial"/>
          <w:szCs w:val="24"/>
        </w:rPr>
        <w:t>well-being</w:t>
      </w:r>
      <w:r w:rsidR="000E4511" w:rsidRPr="008B1BE0">
        <w:rPr>
          <w:rFonts w:cs="Arial"/>
          <w:szCs w:val="24"/>
        </w:rPr>
        <w:t>.</w:t>
      </w:r>
    </w:p>
    <w:p w:rsidR="004C61C1" w:rsidRPr="00E81787" w:rsidRDefault="002B6BAD" w:rsidP="0060443C">
      <w:pPr>
        <w:pStyle w:val="ListParagraph"/>
        <w:numPr>
          <w:ilvl w:val="0"/>
          <w:numId w:val="1"/>
        </w:numPr>
        <w:spacing w:line="360" w:lineRule="auto"/>
        <w:rPr>
          <w:rFonts w:cs="Arial"/>
          <w:szCs w:val="24"/>
        </w:rPr>
      </w:pPr>
      <w:r>
        <w:rPr>
          <w:rFonts w:cs="Arial"/>
          <w:szCs w:val="24"/>
        </w:rPr>
        <w:t xml:space="preserve">Risk 2: The current lack of regulation in particular in relation to </w:t>
      </w:r>
      <w:r w:rsidR="00C64205">
        <w:rPr>
          <w:rFonts w:cs="Arial"/>
          <w:szCs w:val="24"/>
        </w:rPr>
        <w:t xml:space="preserve">the </w:t>
      </w:r>
      <w:r>
        <w:rPr>
          <w:rFonts w:cs="Arial"/>
          <w:szCs w:val="24"/>
        </w:rPr>
        <w:t xml:space="preserve">training and education requirements for those </w:t>
      </w:r>
      <w:r w:rsidR="000E4511">
        <w:rPr>
          <w:rFonts w:cs="Arial"/>
          <w:szCs w:val="24"/>
        </w:rPr>
        <w:t>entering</w:t>
      </w:r>
      <w:r>
        <w:rPr>
          <w:rFonts w:cs="Arial"/>
          <w:szCs w:val="24"/>
        </w:rPr>
        <w:t xml:space="preserve"> the field of counselling and psychotherapy is resulting in </w:t>
      </w:r>
      <w:r w:rsidR="00F77FE3">
        <w:rPr>
          <w:rFonts w:cs="Arial"/>
          <w:szCs w:val="24"/>
        </w:rPr>
        <w:t>individuals</w:t>
      </w:r>
      <w:r>
        <w:rPr>
          <w:rFonts w:cs="Arial"/>
          <w:szCs w:val="24"/>
        </w:rPr>
        <w:t xml:space="preserve"> with minimal training</w:t>
      </w:r>
      <w:r w:rsidR="000E4511">
        <w:rPr>
          <w:rFonts w:cs="Arial"/>
          <w:szCs w:val="24"/>
        </w:rPr>
        <w:t xml:space="preserve">, and </w:t>
      </w:r>
      <w:r w:rsidR="000E4511" w:rsidRPr="00E81787">
        <w:rPr>
          <w:rFonts w:cs="Arial"/>
          <w:szCs w:val="24"/>
        </w:rPr>
        <w:t xml:space="preserve">a lack of skills to </w:t>
      </w:r>
      <w:r w:rsidR="000E4511">
        <w:rPr>
          <w:rFonts w:cs="Arial"/>
          <w:szCs w:val="24"/>
        </w:rPr>
        <w:t>safely</w:t>
      </w:r>
      <w:r w:rsidR="00C64205">
        <w:rPr>
          <w:rFonts w:cs="Arial"/>
          <w:szCs w:val="24"/>
        </w:rPr>
        <w:t xml:space="preserve"> </w:t>
      </w:r>
      <w:r w:rsidR="00C64205" w:rsidRPr="00E81787">
        <w:rPr>
          <w:rFonts w:cs="Arial"/>
          <w:szCs w:val="24"/>
        </w:rPr>
        <w:t>manage</w:t>
      </w:r>
      <w:r>
        <w:rPr>
          <w:rFonts w:cs="Arial"/>
          <w:szCs w:val="24"/>
        </w:rPr>
        <w:t xml:space="preserve"> working with seriously </w:t>
      </w:r>
      <w:r w:rsidR="000911F4" w:rsidRPr="00E81787">
        <w:rPr>
          <w:rFonts w:cs="Arial"/>
          <w:szCs w:val="24"/>
        </w:rPr>
        <w:t>at risk</w:t>
      </w:r>
      <w:r w:rsidR="00063419" w:rsidRPr="00E81787">
        <w:rPr>
          <w:rFonts w:cs="Arial"/>
          <w:szCs w:val="24"/>
        </w:rPr>
        <w:t xml:space="preserve"> clinical population</w:t>
      </w:r>
      <w:r>
        <w:rPr>
          <w:rFonts w:cs="Arial"/>
          <w:szCs w:val="24"/>
        </w:rPr>
        <w:t>s, including people with eating disorders</w:t>
      </w:r>
      <w:r w:rsidR="000E4511">
        <w:rPr>
          <w:rFonts w:cs="Arial"/>
          <w:szCs w:val="24"/>
        </w:rPr>
        <w:t xml:space="preserve">. </w:t>
      </w:r>
      <w:r w:rsidR="004E47BE" w:rsidRPr="00E81787">
        <w:rPr>
          <w:rFonts w:cs="Arial"/>
          <w:szCs w:val="24"/>
        </w:rPr>
        <w:t xml:space="preserve"> </w:t>
      </w:r>
    </w:p>
    <w:p w:rsidR="00DA0DF0" w:rsidRPr="00E81787" w:rsidRDefault="00984BEC" w:rsidP="0060443C">
      <w:pPr>
        <w:spacing w:line="360" w:lineRule="auto"/>
        <w:jc w:val="center"/>
        <w:rPr>
          <w:rFonts w:cs="Arial"/>
          <w:b/>
          <w:szCs w:val="24"/>
        </w:rPr>
      </w:pPr>
      <w:r w:rsidRPr="00E81787">
        <w:rPr>
          <w:rFonts w:cs="Arial"/>
          <w:b/>
          <w:szCs w:val="24"/>
        </w:rPr>
        <w:t>Conclusion</w:t>
      </w:r>
      <w:r w:rsidR="00232159" w:rsidRPr="00E81787">
        <w:rPr>
          <w:rFonts w:cs="Arial"/>
          <w:b/>
          <w:szCs w:val="24"/>
        </w:rPr>
        <w:t xml:space="preserve"> and Recommendation</w:t>
      </w:r>
    </w:p>
    <w:p w:rsidR="006D4BE8" w:rsidRPr="00EA14D8" w:rsidRDefault="000E4511" w:rsidP="0060443C">
      <w:pPr>
        <w:spacing w:line="360" w:lineRule="auto"/>
        <w:rPr>
          <w:rFonts w:cs="Arial"/>
          <w:szCs w:val="24"/>
        </w:rPr>
      </w:pPr>
      <w:r w:rsidRPr="00EA14D8">
        <w:rPr>
          <w:rFonts w:cs="Arial"/>
          <w:szCs w:val="24"/>
        </w:rPr>
        <w:t xml:space="preserve">Bodywhys supports the regulation of ‘counsellors’ and ‘psychotherapists’ </w:t>
      </w:r>
      <w:r w:rsidR="006D4BE8" w:rsidRPr="00EA14D8">
        <w:rPr>
          <w:rFonts w:cs="Arial"/>
          <w:szCs w:val="24"/>
        </w:rPr>
        <w:t>in line with The Health and Social Care Professionals Act 2005 which facilitates the State to initiate a</w:t>
      </w:r>
      <w:r w:rsidR="00E94F95" w:rsidRPr="00EA14D8">
        <w:rPr>
          <w:rFonts w:cs="Arial"/>
          <w:szCs w:val="24"/>
        </w:rPr>
        <w:t xml:space="preserve"> </w:t>
      </w:r>
      <w:r w:rsidR="00EA14D8">
        <w:rPr>
          <w:rFonts w:cs="Arial"/>
          <w:szCs w:val="24"/>
        </w:rPr>
        <w:t>registration process, stating: ‘</w:t>
      </w:r>
      <w:r w:rsidR="006D4BE8" w:rsidRPr="00EA14D8">
        <w:rPr>
          <w:rFonts w:cs="Arial"/>
          <w:szCs w:val="24"/>
        </w:rPr>
        <w:t>The object of the registration board of a designated profession is to protect the public by fostering high standards of professional conduct and professional education, training and competence among registrants of that profession.</w:t>
      </w:r>
      <w:r w:rsidR="00EA14D8">
        <w:rPr>
          <w:rFonts w:cs="Arial"/>
          <w:szCs w:val="24"/>
        </w:rPr>
        <w:t>’</w:t>
      </w:r>
      <w:r w:rsidR="00ED2746">
        <w:rPr>
          <w:rStyle w:val="EndnoteReference"/>
          <w:rFonts w:cs="Arial"/>
          <w:szCs w:val="24"/>
        </w:rPr>
        <w:endnoteReference w:id="21"/>
      </w:r>
      <w:r w:rsidR="006D4BE8" w:rsidRPr="00EA14D8">
        <w:rPr>
          <w:rFonts w:cs="Arial"/>
          <w:szCs w:val="24"/>
        </w:rPr>
        <w:t xml:space="preserve"> </w:t>
      </w:r>
    </w:p>
    <w:p w:rsidR="006D4BE8" w:rsidRPr="00B10E55" w:rsidRDefault="006D4BE8" w:rsidP="0060443C">
      <w:pPr>
        <w:spacing w:line="360" w:lineRule="auto"/>
        <w:rPr>
          <w:rFonts w:cs="Arial"/>
          <w:szCs w:val="24"/>
        </w:rPr>
      </w:pPr>
      <w:r w:rsidRPr="00B10E55">
        <w:rPr>
          <w:rFonts w:cs="Arial"/>
          <w:szCs w:val="24"/>
        </w:rPr>
        <w:lastRenderedPageBreak/>
        <w:t>Bodywhys supports the protection of the terms ‘counsellor’ and ‘psychotherapist’ within the registration board.</w:t>
      </w:r>
    </w:p>
    <w:p w:rsidR="009E36EC" w:rsidRPr="009E36EC" w:rsidRDefault="009E36EC" w:rsidP="0060443C">
      <w:pPr>
        <w:spacing w:line="360" w:lineRule="auto"/>
        <w:rPr>
          <w:rFonts w:cs="Arial"/>
          <w:b/>
          <w:sz w:val="22"/>
          <w:szCs w:val="22"/>
          <w:u w:val="single"/>
        </w:rPr>
      </w:pPr>
      <w:r w:rsidRPr="009E36EC">
        <w:rPr>
          <w:rFonts w:cs="Arial"/>
          <w:b/>
          <w:sz w:val="22"/>
          <w:szCs w:val="22"/>
          <w:u w:val="single"/>
        </w:rPr>
        <w:t xml:space="preserve">Registration and regulation for </w:t>
      </w:r>
      <w:r w:rsidR="00086E3A">
        <w:rPr>
          <w:rFonts w:cs="Arial"/>
          <w:b/>
          <w:sz w:val="22"/>
          <w:szCs w:val="22"/>
          <w:u w:val="single"/>
        </w:rPr>
        <w:t>Psychotherapist</w:t>
      </w:r>
    </w:p>
    <w:p w:rsidR="006D4BE8" w:rsidRPr="004B3B2A" w:rsidRDefault="006D4BE8" w:rsidP="0060443C">
      <w:pPr>
        <w:spacing w:line="360" w:lineRule="auto"/>
        <w:rPr>
          <w:rFonts w:cs="Arial"/>
          <w:szCs w:val="24"/>
        </w:rPr>
      </w:pPr>
      <w:r w:rsidRPr="004B3B2A">
        <w:rPr>
          <w:rFonts w:cs="Arial"/>
          <w:szCs w:val="24"/>
        </w:rPr>
        <w:t xml:space="preserve">Bodywhys supports </w:t>
      </w:r>
      <w:r w:rsidR="00424A10" w:rsidRPr="004B3B2A">
        <w:rPr>
          <w:rFonts w:cs="Arial"/>
          <w:szCs w:val="24"/>
        </w:rPr>
        <w:t xml:space="preserve">the following baseline and hour requirements for registration as a psychotherapist (which are in line with the European </w:t>
      </w:r>
      <w:r w:rsidR="00D778DE" w:rsidRPr="004B3B2A">
        <w:rPr>
          <w:rFonts w:cs="Arial"/>
          <w:szCs w:val="24"/>
        </w:rPr>
        <w:t>Association</w:t>
      </w:r>
      <w:r w:rsidR="00424A10" w:rsidRPr="004B3B2A">
        <w:rPr>
          <w:rFonts w:cs="Arial"/>
          <w:szCs w:val="24"/>
        </w:rPr>
        <w:t xml:space="preserve"> for Psychotherapy, the</w:t>
      </w:r>
      <w:r w:rsidR="00D778DE" w:rsidRPr="004B3B2A">
        <w:rPr>
          <w:rFonts w:cs="Arial"/>
          <w:szCs w:val="24"/>
        </w:rPr>
        <w:t xml:space="preserve"> </w:t>
      </w:r>
      <w:r w:rsidR="00424A10" w:rsidRPr="004B3B2A">
        <w:rPr>
          <w:rFonts w:cs="Arial"/>
          <w:szCs w:val="24"/>
        </w:rPr>
        <w:t>Irish Council for Psychotherapy and the Psychological Therapies Forum).</w:t>
      </w:r>
    </w:p>
    <w:p w:rsidR="000E4511" w:rsidRPr="009E36EC" w:rsidRDefault="00424A10" w:rsidP="0060443C">
      <w:pPr>
        <w:spacing w:line="360" w:lineRule="auto"/>
        <w:rPr>
          <w:rFonts w:cs="Arial"/>
          <w:b/>
          <w:szCs w:val="24"/>
        </w:rPr>
      </w:pPr>
      <w:proofErr w:type="gramStart"/>
      <w:r w:rsidRPr="009E36EC">
        <w:rPr>
          <w:rFonts w:cs="Arial"/>
          <w:b/>
          <w:szCs w:val="24"/>
        </w:rPr>
        <w:t>Qualification at baseline level 9 of the National Framework of Qualifications.</w:t>
      </w:r>
      <w:proofErr w:type="gramEnd"/>
    </w:p>
    <w:p w:rsidR="00424A10" w:rsidRDefault="00424A10" w:rsidP="0060443C">
      <w:pPr>
        <w:spacing w:line="360" w:lineRule="auto"/>
        <w:rPr>
          <w:rFonts w:cs="Arial"/>
          <w:szCs w:val="24"/>
        </w:rPr>
      </w:pPr>
      <w:r>
        <w:rPr>
          <w:rFonts w:cs="Arial"/>
          <w:szCs w:val="24"/>
        </w:rPr>
        <w:t xml:space="preserve">In total a minimum of </w:t>
      </w:r>
      <w:r w:rsidRPr="009E36EC">
        <w:rPr>
          <w:rFonts w:cs="Arial"/>
          <w:b/>
          <w:szCs w:val="24"/>
        </w:rPr>
        <w:t>3,200 hours</w:t>
      </w:r>
      <w:r>
        <w:rPr>
          <w:rFonts w:cs="Arial"/>
          <w:szCs w:val="24"/>
        </w:rPr>
        <w:t xml:space="preserve"> of training and education over 7 years as follows:</w:t>
      </w:r>
    </w:p>
    <w:p w:rsidR="00424A10" w:rsidRDefault="00424A10" w:rsidP="0060443C">
      <w:pPr>
        <w:pStyle w:val="ListParagraph"/>
        <w:numPr>
          <w:ilvl w:val="1"/>
          <w:numId w:val="4"/>
        </w:numPr>
        <w:spacing w:line="360" w:lineRule="auto"/>
        <w:rPr>
          <w:rFonts w:cs="Arial"/>
          <w:szCs w:val="24"/>
        </w:rPr>
      </w:pPr>
      <w:r w:rsidRPr="00424A10">
        <w:rPr>
          <w:rFonts w:cs="Arial"/>
          <w:szCs w:val="24"/>
        </w:rPr>
        <w:t>A Degree or equivalent in human sciences (medical, psychological, social, educational</w:t>
      </w:r>
      <w:r w:rsidR="00570B94">
        <w:rPr>
          <w:rFonts w:cs="Arial"/>
          <w:szCs w:val="24"/>
        </w:rPr>
        <w:t>,</w:t>
      </w:r>
      <w:r w:rsidRPr="00424A10">
        <w:rPr>
          <w:rFonts w:cs="Arial"/>
          <w:szCs w:val="24"/>
        </w:rPr>
        <w:t xml:space="preserve"> </w:t>
      </w:r>
      <w:proofErr w:type="spellStart"/>
      <w:r w:rsidRPr="00424A10">
        <w:rPr>
          <w:rFonts w:cs="Arial"/>
          <w:szCs w:val="24"/>
        </w:rPr>
        <w:t>etc</w:t>
      </w:r>
      <w:proofErr w:type="spellEnd"/>
      <w:r w:rsidRPr="00424A10">
        <w:rPr>
          <w:rFonts w:cs="Arial"/>
          <w:szCs w:val="24"/>
        </w:rPr>
        <w:t>)</w:t>
      </w:r>
    </w:p>
    <w:p w:rsidR="00424A10" w:rsidRDefault="00424A10" w:rsidP="0060443C">
      <w:pPr>
        <w:pStyle w:val="ListParagraph"/>
        <w:numPr>
          <w:ilvl w:val="1"/>
          <w:numId w:val="4"/>
        </w:numPr>
        <w:spacing w:line="360" w:lineRule="auto"/>
        <w:rPr>
          <w:rFonts w:cs="Arial"/>
          <w:szCs w:val="24"/>
        </w:rPr>
      </w:pPr>
      <w:r w:rsidRPr="00424A10">
        <w:rPr>
          <w:rFonts w:cs="Arial"/>
          <w:szCs w:val="24"/>
        </w:rPr>
        <w:t>Interview</w:t>
      </w:r>
    </w:p>
    <w:p w:rsidR="00424A10" w:rsidRDefault="00424A10" w:rsidP="0060443C">
      <w:pPr>
        <w:pStyle w:val="ListParagraph"/>
        <w:numPr>
          <w:ilvl w:val="1"/>
          <w:numId w:val="4"/>
        </w:numPr>
        <w:spacing w:line="360" w:lineRule="auto"/>
        <w:rPr>
          <w:rFonts w:cs="Arial"/>
          <w:szCs w:val="24"/>
        </w:rPr>
      </w:pPr>
      <w:r>
        <w:rPr>
          <w:rFonts w:cs="Arial"/>
          <w:szCs w:val="24"/>
        </w:rPr>
        <w:t>Minimum of four years continuous training in a specific psychotherapy modality at master’s level (1400 hours) to include:</w:t>
      </w:r>
    </w:p>
    <w:p w:rsidR="00424A10" w:rsidRDefault="00424A10" w:rsidP="0060443C">
      <w:pPr>
        <w:pStyle w:val="ListParagraph"/>
        <w:numPr>
          <w:ilvl w:val="1"/>
          <w:numId w:val="4"/>
        </w:numPr>
        <w:spacing w:line="360" w:lineRule="auto"/>
        <w:rPr>
          <w:rFonts w:cs="Arial"/>
          <w:szCs w:val="24"/>
        </w:rPr>
      </w:pPr>
      <w:r>
        <w:rPr>
          <w:rFonts w:cs="Arial"/>
          <w:szCs w:val="24"/>
        </w:rPr>
        <w:t>250 hours / sessions personal psychotherapeutic experience</w:t>
      </w:r>
    </w:p>
    <w:p w:rsidR="00424A10" w:rsidRDefault="00424A10" w:rsidP="0060443C">
      <w:pPr>
        <w:pStyle w:val="ListParagraph"/>
        <w:numPr>
          <w:ilvl w:val="1"/>
          <w:numId w:val="4"/>
        </w:numPr>
        <w:spacing w:line="360" w:lineRule="auto"/>
        <w:rPr>
          <w:rFonts w:cs="Arial"/>
          <w:szCs w:val="24"/>
        </w:rPr>
      </w:pPr>
      <w:r>
        <w:rPr>
          <w:rFonts w:cs="Arial"/>
          <w:szCs w:val="24"/>
        </w:rPr>
        <w:t>500-800 hours of theory and methodology</w:t>
      </w:r>
    </w:p>
    <w:p w:rsidR="00424A10" w:rsidRDefault="00424A10" w:rsidP="0060443C">
      <w:pPr>
        <w:pStyle w:val="ListParagraph"/>
        <w:numPr>
          <w:ilvl w:val="1"/>
          <w:numId w:val="4"/>
        </w:numPr>
        <w:spacing w:line="360" w:lineRule="auto"/>
        <w:rPr>
          <w:rFonts w:cs="Arial"/>
          <w:szCs w:val="24"/>
        </w:rPr>
      </w:pPr>
      <w:r>
        <w:rPr>
          <w:rFonts w:cs="Arial"/>
          <w:szCs w:val="24"/>
        </w:rPr>
        <w:t>300-600 hours / sessions supervised clinical practice with clients/patients</w:t>
      </w:r>
    </w:p>
    <w:p w:rsidR="00424A10" w:rsidRDefault="00424A10" w:rsidP="0060443C">
      <w:pPr>
        <w:pStyle w:val="ListParagraph"/>
        <w:numPr>
          <w:ilvl w:val="1"/>
          <w:numId w:val="4"/>
        </w:numPr>
        <w:spacing w:line="360" w:lineRule="auto"/>
        <w:rPr>
          <w:rFonts w:cs="Arial"/>
          <w:szCs w:val="24"/>
        </w:rPr>
      </w:pPr>
      <w:r>
        <w:rPr>
          <w:rFonts w:cs="Arial"/>
          <w:szCs w:val="24"/>
        </w:rPr>
        <w:t>150 hours / sessions of supervision</w:t>
      </w:r>
    </w:p>
    <w:p w:rsidR="009E36EC" w:rsidRDefault="00424A10" w:rsidP="0060443C">
      <w:pPr>
        <w:pStyle w:val="ListParagraph"/>
        <w:numPr>
          <w:ilvl w:val="1"/>
          <w:numId w:val="4"/>
        </w:numPr>
        <w:spacing w:line="360" w:lineRule="auto"/>
        <w:rPr>
          <w:rFonts w:cs="Arial"/>
          <w:szCs w:val="24"/>
        </w:rPr>
      </w:pPr>
      <w:r>
        <w:rPr>
          <w:rFonts w:cs="Arial"/>
          <w:szCs w:val="24"/>
        </w:rPr>
        <w:t>Clinical placement in a mental health or psycho-social setting</w:t>
      </w:r>
    </w:p>
    <w:p w:rsidR="009E36EC" w:rsidRDefault="009E36EC" w:rsidP="0060443C">
      <w:pPr>
        <w:pStyle w:val="ListParagraph"/>
        <w:spacing w:line="360" w:lineRule="auto"/>
        <w:ind w:left="1440"/>
        <w:rPr>
          <w:rFonts w:cs="Arial"/>
          <w:szCs w:val="24"/>
        </w:rPr>
      </w:pPr>
    </w:p>
    <w:p w:rsidR="009E36EC" w:rsidRPr="0060443C" w:rsidRDefault="009E36EC" w:rsidP="0060443C">
      <w:pPr>
        <w:spacing w:line="360" w:lineRule="auto"/>
        <w:rPr>
          <w:rFonts w:cs="Arial"/>
          <w:szCs w:val="24"/>
        </w:rPr>
      </w:pPr>
      <w:r w:rsidRPr="0060443C">
        <w:rPr>
          <w:rFonts w:cs="Arial"/>
          <w:b/>
          <w:sz w:val="22"/>
          <w:szCs w:val="22"/>
          <w:u w:val="single"/>
        </w:rPr>
        <w:t xml:space="preserve">Registration and regulation for </w:t>
      </w:r>
      <w:r w:rsidR="00B202B9" w:rsidRPr="0060443C">
        <w:rPr>
          <w:rFonts w:cs="Arial"/>
          <w:b/>
          <w:sz w:val="22"/>
          <w:szCs w:val="22"/>
          <w:u w:val="single"/>
        </w:rPr>
        <w:t>Counsellor</w:t>
      </w:r>
    </w:p>
    <w:p w:rsidR="00424A10" w:rsidRDefault="00D778DE" w:rsidP="0060443C">
      <w:pPr>
        <w:spacing w:line="360" w:lineRule="auto"/>
        <w:rPr>
          <w:rFonts w:cs="Arial"/>
          <w:szCs w:val="24"/>
        </w:rPr>
      </w:pPr>
      <w:r>
        <w:rPr>
          <w:rFonts w:cs="Arial"/>
          <w:szCs w:val="24"/>
        </w:rPr>
        <w:t>Bodywhys recomme</w:t>
      </w:r>
      <w:r w:rsidR="00E96702">
        <w:rPr>
          <w:rFonts w:cs="Arial"/>
          <w:szCs w:val="24"/>
        </w:rPr>
        <w:t>nds that for the regulation of counsellor</w:t>
      </w:r>
      <w:r>
        <w:rPr>
          <w:rFonts w:cs="Arial"/>
          <w:szCs w:val="24"/>
        </w:rPr>
        <w:t xml:space="preserve"> the following standards are adopted (in line with the Psychological Therapies Forum proposal).</w:t>
      </w:r>
    </w:p>
    <w:p w:rsidR="00D778DE" w:rsidRDefault="00D778DE" w:rsidP="0060443C">
      <w:pPr>
        <w:spacing w:line="360" w:lineRule="auto"/>
        <w:rPr>
          <w:rFonts w:cs="Arial"/>
          <w:szCs w:val="24"/>
        </w:rPr>
      </w:pPr>
      <w:r>
        <w:rPr>
          <w:rFonts w:cs="Arial"/>
          <w:szCs w:val="24"/>
        </w:rPr>
        <w:t>A baseline academic qualification for entry to training is:</w:t>
      </w:r>
    </w:p>
    <w:p w:rsidR="00D778DE" w:rsidRDefault="00D778DE" w:rsidP="0060443C">
      <w:pPr>
        <w:pStyle w:val="ListParagraph"/>
        <w:numPr>
          <w:ilvl w:val="0"/>
          <w:numId w:val="3"/>
        </w:numPr>
        <w:spacing w:line="360" w:lineRule="auto"/>
        <w:rPr>
          <w:rFonts w:cs="Arial"/>
          <w:szCs w:val="24"/>
        </w:rPr>
      </w:pPr>
      <w:r>
        <w:rPr>
          <w:rFonts w:cs="Arial"/>
          <w:szCs w:val="24"/>
        </w:rPr>
        <w:t>Entry level 1 – leaving certificate or equivalent</w:t>
      </w:r>
    </w:p>
    <w:p w:rsidR="00D778DE" w:rsidRDefault="00D778DE" w:rsidP="0060443C">
      <w:pPr>
        <w:pStyle w:val="ListParagraph"/>
        <w:numPr>
          <w:ilvl w:val="0"/>
          <w:numId w:val="3"/>
        </w:numPr>
        <w:spacing w:line="360" w:lineRule="auto"/>
        <w:rPr>
          <w:rFonts w:cs="Arial"/>
          <w:szCs w:val="24"/>
        </w:rPr>
      </w:pPr>
      <w:r>
        <w:rPr>
          <w:rFonts w:cs="Arial"/>
          <w:szCs w:val="24"/>
        </w:rPr>
        <w:t xml:space="preserve">Entry level 2 – relevant degree of equivalent prior learning </w:t>
      </w:r>
    </w:p>
    <w:p w:rsidR="00D778DE" w:rsidRDefault="00D778DE" w:rsidP="0060443C">
      <w:pPr>
        <w:pStyle w:val="ListParagraph"/>
        <w:numPr>
          <w:ilvl w:val="0"/>
          <w:numId w:val="3"/>
        </w:numPr>
        <w:spacing w:line="360" w:lineRule="auto"/>
        <w:rPr>
          <w:rFonts w:cs="Arial"/>
          <w:szCs w:val="24"/>
        </w:rPr>
      </w:pPr>
      <w:r>
        <w:rPr>
          <w:rFonts w:cs="Arial"/>
          <w:szCs w:val="24"/>
        </w:rPr>
        <w:t>Interview</w:t>
      </w:r>
    </w:p>
    <w:p w:rsidR="00D778DE" w:rsidRPr="00D778DE" w:rsidRDefault="00D778DE" w:rsidP="0060443C">
      <w:pPr>
        <w:pStyle w:val="ListParagraph"/>
        <w:spacing w:line="360" w:lineRule="auto"/>
        <w:rPr>
          <w:rFonts w:cs="Arial"/>
          <w:szCs w:val="24"/>
        </w:rPr>
      </w:pPr>
      <w:r w:rsidRPr="00D778DE">
        <w:rPr>
          <w:rFonts w:cs="Arial"/>
          <w:szCs w:val="24"/>
        </w:rPr>
        <w:t xml:space="preserve">In addition to this, the </w:t>
      </w:r>
      <w:r w:rsidRPr="009E36EC">
        <w:rPr>
          <w:rFonts w:cs="Arial"/>
          <w:b/>
          <w:szCs w:val="24"/>
        </w:rPr>
        <w:t>minimum</w:t>
      </w:r>
      <w:r w:rsidRPr="00D778DE">
        <w:rPr>
          <w:rFonts w:cs="Arial"/>
          <w:szCs w:val="24"/>
        </w:rPr>
        <w:t xml:space="preserve"> baseline requirement being:</w:t>
      </w:r>
    </w:p>
    <w:p w:rsidR="00D778DE" w:rsidRDefault="00D778DE" w:rsidP="0060443C">
      <w:pPr>
        <w:pStyle w:val="ListParagraph"/>
        <w:numPr>
          <w:ilvl w:val="0"/>
          <w:numId w:val="3"/>
        </w:numPr>
        <w:spacing w:line="360" w:lineRule="auto"/>
        <w:rPr>
          <w:rFonts w:cs="Arial"/>
          <w:szCs w:val="24"/>
        </w:rPr>
      </w:pPr>
      <w:r>
        <w:rPr>
          <w:rFonts w:cs="Arial"/>
          <w:szCs w:val="24"/>
        </w:rPr>
        <w:lastRenderedPageBreak/>
        <w:t>A minimum 4 years training in a specific counselling and psychotherapy modality of 1250 hours to include:</w:t>
      </w:r>
    </w:p>
    <w:p w:rsidR="00D778DE" w:rsidRDefault="00D778DE" w:rsidP="0060443C">
      <w:pPr>
        <w:pStyle w:val="ListParagraph"/>
        <w:numPr>
          <w:ilvl w:val="0"/>
          <w:numId w:val="3"/>
        </w:numPr>
        <w:spacing w:line="360" w:lineRule="auto"/>
        <w:rPr>
          <w:rFonts w:cs="Arial"/>
          <w:szCs w:val="24"/>
        </w:rPr>
      </w:pPr>
      <w:r>
        <w:rPr>
          <w:rFonts w:cs="Arial"/>
          <w:szCs w:val="24"/>
        </w:rPr>
        <w:t>600 hours of academic training including theory over minimum of 4 years</w:t>
      </w:r>
    </w:p>
    <w:p w:rsidR="00D778DE" w:rsidRDefault="00D778DE" w:rsidP="0060443C">
      <w:pPr>
        <w:pStyle w:val="ListParagraph"/>
        <w:numPr>
          <w:ilvl w:val="0"/>
          <w:numId w:val="3"/>
        </w:numPr>
        <w:spacing w:line="360" w:lineRule="auto"/>
        <w:rPr>
          <w:rFonts w:cs="Arial"/>
          <w:szCs w:val="24"/>
        </w:rPr>
      </w:pPr>
      <w:r>
        <w:rPr>
          <w:rFonts w:cs="Arial"/>
          <w:szCs w:val="24"/>
        </w:rPr>
        <w:t>400 hours of supervised clinical practice with clients/patients during training</w:t>
      </w:r>
    </w:p>
    <w:p w:rsidR="00D778DE" w:rsidRDefault="00D778DE" w:rsidP="0060443C">
      <w:pPr>
        <w:pStyle w:val="ListParagraph"/>
        <w:numPr>
          <w:ilvl w:val="0"/>
          <w:numId w:val="3"/>
        </w:numPr>
        <w:spacing w:line="360" w:lineRule="auto"/>
        <w:rPr>
          <w:rFonts w:cs="Arial"/>
          <w:szCs w:val="24"/>
        </w:rPr>
      </w:pPr>
      <w:r>
        <w:rPr>
          <w:rFonts w:cs="Arial"/>
          <w:szCs w:val="24"/>
        </w:rPr>
        <w:t>100 hours supervision (supervision ratio 1:4)</w:t>
      </w:r>
    </w:p>
    <w:p w:rsidR="00D778DE" w:rsidRPr="00D778DE" w:rsidRDefault="00D778DE" w:rsidP="0060443C">
      <w:pPr>
        <w:pStyle w:val="ListParagraph"/>
        <w:numPr>
          <w:ilvl w:val="0"/>
          <w:numId w:val="3"/>
        </w:numPr>
        <w:spacing w:line="360" w:lineRule="auto"/>
        <w:rPr>
          <w:rFonts w:cs="Arial"/>
          <w:szCs w:val="24"/>
        </w:rPr>
      </w:pPr>
      <w:r>
        <w:rPr>
          <w:rFonts w:cs="Arial"/>
          <w:szCs w:val="24"/>
        </w:rPr>
        <w:t>150 hours of personal development experience to include minimum of 100 hours of personal psychological therapy.</w:t>
      </w:r>
    </w:p>
    <w:p w:rsidR="00DA0DF0" w:rsidRPr="00E81787" w:rsidRDefault="00C3347B" w:rsidP="0060443C">
      <w:pPr>
        <w:spacing w:line="360" w:lineRule="auto"/>
        <w:rPr>
          <w:rFonts w:cs="Arial"/>
          <w:szCs w:val="24"/>
        </w:rPr>
      </w:pPr>
      <w:r w:rsidRPr="00E81787">
        <w:rPr>
          <w:rFonts w:cs="Arial"/>
          <w:szCs w:val="24"/>
        </w:rPr>
        <w:t>Bodywhys</w:t>
      </w:r>
      <w:r w:rsidR="00932E33" w:rsidRPr="00E81787">
        <w:rPr>
          <w:rFonts w:cs="Arial"/>
          <w:szCs w:val="24"/>
        </w:rPr>
        <w:t xml:space="preserve"> is</w:t>
      </w:r>
      <w:r w:rsidRPr="00E81787">
        <w:rPr>
          <w:rFonts w:cs="Arial"/>
          <w:szCs w:val="24"/>
        </w:rPr>
        <w:t xml:space="preserve"> concerned that some inexperienced or unqualified counsellors and psychotherapists may be </w:t>
      </w:r>
      <w:r w:rsidR="00C2126A" w:rsidRPr="00E81787">
        <w:rPr>
          <w:rFonts w:cs="Arial"/>
          <w:szCs w:val="24"/>
        </w:rPr>
        <w:t>working</w:t>
      </w:r>
      <w:r w:rsidR="00BE2E21" w:rsidRPr="00E81787">
        <w:rPr>
          <w:rFonts w:cs="Arial"/>
          <w:szCs w:val="24"/>
        </w:rPr>
        <w:t xml:space="preserve"> with</w:t>
      </w:r>
      <w:r w:rsidRPr="00E81787">
        <w:rPr>
          <w:rFonts w:cs="Arial"/>
          <w:szCs w:val="24"/>
        </w:rPr>
        <w:t xml:space="preserve"> individuals affected by eating disorders </w:t>
      </w:r>
      <w:r w:rsidR="00711861" w:rsidRPr="00E81787">
        <w:rPr>
          <w:rFonts w:cs="Arial"/>
          <w:szCs w:val="24"/>
        </w:rPr>
        <w:t>whilst having</w:t>
      </w:r>
      <w:r w:rsidRPr="00E81787">
        <w:rPr>
          <w:rFonts w:cs="Arial"/>
          <w:szCs w:val="24"/>
        </w:rPr>
        <w:t xml:space="preserve"> limited</w:t>
      </w:r>
      <w:r w:rsidR="00832348">
        <w:rPr>
          <w:rFonts w:cs="Arial"/>
          <w:szCs w:val="24"/>
        </w:rPr>
        <w:t xml:space="preserve"> </w:t>
      </w:r>
      <w:r w:rsidR="00EF1741" w:rsidRPr="00E81787">
        <w:rPr>
          <w:rFonts w:cs="Arial"/>
          <w:szCs w:val="24"/>
        </w:rPr>
        <w:t>direct</w:t>
      </w:r>
      <w:r w:rsidR="00832348">
        <w:rPr>
          <w:rFonts w:cs="Arial"/>
          <w:szCs w:val="24"/>
        </w:rPr>
        <w:t xml:space="preserve"> </w:t>
      </w:r>
      <w:r w:rsidRPr="00E81787">
        <w:rPr>
          <w:rFonts w:cs="Arial"/>
          <w:szCs w:val="24"/>
        </w:rPr>
        <w:t xml:space="preserve">knowledge of the </w:t>
      </w:r>
      <w:r w:rsidR="005A622E" w:rsidRPr="00E81787">
        <w:rPr>
          <w:rFonts w:cs="Arial"/>
          <w:szCs w:val="24"/>
        </w:rPr>
        <w:t xml:space="preserve">complications </w:t>
      </w:r>
      <w:r w:rsidR="008E690E" w:rsidRPr="00E81787">
        <w:rPr>
          <w:rFonts w:cs="Arial"/>
          <w:szCs w:val="24"/>
        </w:rPr>
        <w:t xml:space="preserve">and risks </w:t>
      </w:r>
      <w:r w:rsidR="005A622E" w:rsidRPr="00E81787">
        <w:rPr>
          <w:rFonts w:cs="Arial"/>
          <w:szCs w:val="24"/>
        </w:rPr>
        <w:t>associated with the issue</w:t>
      </w:r>
      <w:r w:rsidRPr="00E81787">
        <w:rPr>
          <w:rFonts w:cs="Arial"/>
          <w:szCs w:val="24"/>
        </w:rPr>
        <w:t>.</w:t>
      </w:r>
    </w:p>
    <w:p w:rsidR="000E68D8" w:rsidRPr="00E81787" w:rsidRDefault="000E68D8" w:rsidP="0060443C">
      <w:pPr>
        <w:spacing w:line="360" w:lineRule="auto"/>
        <w:rPr>
          <w:rFonts w:cs="Arial"/>
          <w:szCs w:val="24"/>
        </w:rPr>
      </w:pPr>
      <w:r w:rsidRPr="00E81787">
        <w:rPr>
          <w:rFonts w:cs="Arial"/>
          <w:szCs w:val="24"/>
        </w:rPr>
        <w:t xml:space="preserve">Bodywhys strongly urges that the recommendations outlined </w:t>
      </w:r>
      <w:r w:rsidR="00DA3853">
        <w:rPr>
          <w:rFonts w:cs="Arial"/>
          <w:szCs w:val="24"/>
        </w:rPr>
        <w:t xml:space="preserve">above </w:t>
      </w:r>
      <w:r w:rsidRPr="00E81787">
        <w:rPr>
          <w:rFonts w:cs="Arial"/>
          <w:szCs w:val="24"/>
        </w:rPr>
        <w:t>in</w:t>
      </w:r>
      <w:r w:rsidR="00DA3853">
        <w:rPr>
          <w:rFonts w:cs="Arial"/>
          <w:szCs w:val="24"/>
        </w:rPr>
        <w:t xml:space="preserve"> accordance with </w:t>
      </w:r>
      <w:r w:rsidRPr="00E81787">
        <w:rPr>
          <w:rFonts w:cs="Arial"/>
          <w:szCs w:val="24"/>
        </w:rPr>
        <w:t xml:space="preserve">the </w:t>
      </w:r>
      <w:r w:rsidR="008A6A38">
        <w:rPr>
          <w:rFonts w:cs="Arial"/>
          <w:szCs w:val="24"/>
        </w:rPr>
        <w:t>Irish Council for Psychotherapy</w:t>
      </w:r>
      <w:r w:rsidR="007558D1">
        <w:rPr>
          <w:rStyle w:val="EndnoteReference"/>
          <w:rFonts w:cs="Arial"/>
          <w:szCs w:val="24"/>
        </w:rPr>
        <w:endnoteReference w:id="22"/>
      </w:r>
      <w:r w:rsidR="008A6A38">
        <w:rPr>
          <w:rFonts w:cs="Arial"/>
          <w:szCs w:val="24"/>
        </w:rPr>
        <w:t xml:space="preserve"> (ICP) and </w:t>
      </w:r>
      <w:r w:rsidRPr="00E81787">
        <w:rPr>
          <w:rFonts w:cs="Arial"/>
          <w:szCs w:val="24"/>
        </w:rPr>
        <w:t>Psychological Therapies Forum</w:t>
      </w:r>
      <w:r w:rsidR="007558D1" w:rsidRPr="00E81787">
        <w:rPr>
          <w:rStyle w:val="EndnoteReference"/>
          <w:rFonts w:cs="Arial"/>
          <w:szCs w:val="24"/>
        </w:rPr>
        <w:endnoteReference w:id="23"/>
      </w:r>
      <w:r w:rsidRPr="00E81787">
        <w:rPr>
          <w:rFonts w:cs="Arial"/>
          <w:szCs w:val="24"/>
        </w:rPr>
        <w:t xml:space="preserve"> (PTF) are implemented in full. In particular, the baseline qualifications and experience requirements</w:t>
      </w:r>
      <w:r w:rsidR="00621496">
        <w:rPr>
          <w:rFonts w:cs="Arial"/>
          <w:szCs w:val="24"/>
        </w:rPr>
        <w:t xml:space="preserve"> for registration as a counsellor or psychotherapist</w:t>
      </w:r>
      <w:r w:rsidRPr="00E81787">
        <w:rPr>
          <w:rFonts w:cs="Arial"/>
          <w:szCs w:val="24"/>
        </w:rPr>
        <w:t>.</w:t>
      </w:r>
    </w:p>
    <w:p w:rsidR="00761223" w:rsidRPr="00E81787" w:rsidRDefault="00761223" w:rsidP="0060443C">
      <w:pPr>
        <w:spacing w:line="360" w:lineRule="auto"/>
        <w:rPr>
          <w:rFonts w:cs="Arial"/>
        </w:rPr>
      </w:pPr>
    </w:p>
    <w:sectPr w:rsidR="00761223" w:rsidRPr="00E81787" w:rsidSect="001A380F">
      <w:footerReference w:type="default" r:id="rId14"/>
      <w:endnotePr>
        <w:numFmt w:val="decimal"/>
      </w:endnotePr>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157" w:rsidRDefault="00B23157" w:rsidP="00F31507">
      <w:pPr>
        <w:spacing w:after="0" w:line="240" w:lineRule="auto"/>
      </w:pPr>
      <w:r>
        <w:separator/>
      </w:r>
    </w:p>
  </w:endnote>
  <w:endnote w:type="continuationSeparator" w:id="0">
    <w:p w:rsidR="00B23157" w:rsidRDefault="00B23157" w:rsidP="00F31507">
      <w:pPr>
        <w:spacing w:after="0" w:line="240" w:lineRule="auto"/>
      </w:pPr>
      <w:r>
        <w:continuationSeparator/>
      </w:r>
    </w:p>
  </w:endnote>
  <w:endnote w:id="1">
    <w:p w:rsidR="00D778DE" w:rsidRPr="004D7EFF" w:rsidRDefault="00D778DE" w:rsidP="004D7EFF">
      <w:pPr>
        <w:pStyle w:val="EndnoteText"/>
        <w:spacing w:line="360" w:lineRule="auto"/>
        <w:rPr>
          <w:rFonts w:cs="Arial"/>
          <w:sz w:val="24"/>
          <w:szCs w:val="24"/>
        </w:rPr>
      </w:pPr>
      <w:r w:rsidRPr="004D7EFF">
        <w:rPr>
          <w:rStyle w:val="EndnoteReference"/>
          <w:rFonts w:cs="Arial"/>
          <w:sz w:val="24"/>
          <w:szCs w:val="24"/>
        </w:rPr>
        <w:endnoteRef/>
      </w:r>
      <w:r w:rsidR="00954765" w:rsidRPr="004D7EFF">
        <w:rPr>
          <w:rFonts w:cs="Arial"/>
          <w:color w:val="000000" w:themeColor="text1"/>
          <w:sz w:val="24"/>
          <w:szCs w:val="24"/>
        </w:rPr>
        <w:t xml:space="preserve"> </w:t>
      </w:r>
      <w:r w:rsidRPr="004D7EFF">
        <w:rPr>
          <w:rFonts w:cs="Arial"/>
          <w:color w:val="000000" w:themeColor="text1"/>
          <w:sz w:val="24"/>
          <w:szCs w:val="24"/>
        </w:rPr>
        <w:t xml:space="preserve">Department of Health &amp; Children (2006) </w:t>
      </w:r>
      <w:r w:rsidRPr="004D7EFF">
        <w:rPr>
          <w:rFonts w:cs="Arial"/>
          <w:i/>
          <w:color w:val="000000" w:themeColor="text1"/>
          <w:sz w:val="24"/>
          <w:szCs w:val="24"/>
        </w:rPr>
        <w:t>A Vision for Change: Report of the Expert Group on Mental Health Policy</w:t>
      </w:r>
    </w:p>
  </w:endnote>
  <w:endnote w:id="2">
    <w:p w:rsidR="00455C0E" w:rsidRPr="004D7EFF" w:rsidRDefault="00455C0E" w:rsidP="004D7EFF">
      <w:pPr>
        <w:pStyle w:val="EndnoteText"/>
        <w:spacing w:line="360" w:lineRule="auto"/>
        <w:rPr>
          <w:sz w:val="24"/>
          <w:szCs w:val="24"/>
        </w:rPr>
      </w:pPr>
      <w:r w:rsidRPr="004D7EFF">
        <w:rPr>
          <w:rStyle w:val="EndnoteReference"/>
          <w:sz w:val="24"/>
          <w:szCs w:val="24"/>
        </w:rPr>
        <w:endnoteRef/>
      </w:r>
      <w:r w:rsidRPr="004D7EFF">
        <w:rPr>
          <w:sz w:val="24"/>
          <w:szCs w:val="24"/>
        </w:rPr>
        <w:t xml:space="preserve"> Daly, A. &amp; Craig, S. (2016) </w:t>
      </w:r>
      <w:r w:rsidR="0075377E" w:rsidRPr="004D7EFF">
        <w:rPr>
          <w:sz w:val="24"/>
          <w:szCs w:val="24"/>
        </w:rPr>
        <w:t xml:space="preserve">Activities of Irish Psychiatric Units and Hospitals 2015 Main Findings. </w:t>
      </w:r>
      <w:proofErr w:type="gramStart"/>
      <w:r w:rsidR="0075377E" w:rsidRPr="004D7EFF">
        <w:rPr>
          <w:sz w:val="24"/>
          <w:szCs w:val="24"/>
        </w:rPr>
        <w:t>Health Research Board.</w:t>
      </w:r>
      <w:proofErr w:type="gramEnd"/>
    </w:p>
  </w:endnote>
  <w:endnote w:id="3">
    <w:p w:rsidR="00D778DE" w:rsidRPr="004D7EFF" w:rsidRDefault="00D778DE" w:rsidP="004D7EFF">
      <w:pPr>
        <w:spacing w:line="360" w:lineRule="auto"/>
        <w:rPr>
          <w:rFonts w:cs="Arial"/>
          <w:i/>
          <w:szCs w:val="24"/>
        </w:rPr>
      </w:pPr>
      <w:r w:rsidRPr="004D7EFF">
        <w:rPr>
          <w:rStyle w:val="EndnoteReference"/>
          <w:rFonts w:cs="Arial"/>
          <w:szCs w:val="24"/>
        </w:rPr>
        <w:endnoteRef/>
      </w:r>
      <w:r w:rsidR="00954765" w:rsidRPr="004D7EFF">
        <w:rPr>
          <w:rFonts w:cs="Arial"/>
          <w:szCs w:val="24"/>
        </w:rPr>
        <w:t xml:space="preserve"> </w:t>
      </w:r>
      <w:r w:rsidRPr="004D7EFF">
        <w:rPr>
          <w:rFonts w:cs="Arial"/>
          <w:szCs w:val="24"/>
        </w:rPr>
        <w:t xml:space="preserve">Treasure, J. (2009) </w:t>
      </w:r>
      <w:r w:rsidRPr="004D7EFF">
        <w:rPr>
          <w:rStyle w:val="Emphasis"/>
          <w:rFonts w:cs="Arial"/>
          <w:szCs w:val="24"/>
        </w:rPr>
        <w:t>A Guide to the Medical Risk</w:t>
      </w:r>
      <w:r w:rsidR="003C5F17" w:rsidRPr="004D7EFF">
        <w:rPr>
          <w:rStyle w:val="Emphasis"/>
          <w:rFonts w:cs="Arial"/>
          <w:szCs w:val="24"/>
        </w:rPr>
        <w:t xml:space="preserve"> </w:t>
      </w:r>
      <w:r w:rsidRPr="004D7EFF">
        <w:rPr>
          <w:rStyle w:val="st"/>
          <w:rFonts w:cs="Arial"/>
          <w:i/>
          <w:szCs w:val="24"/>
        </w:rPr>
        <w:t>Assessment for Eating Disorders.</w:t>
      </w:r>
    </w:p>
  </w:endnote>
  <w:endnote w:id="4">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00954765" w:rsidRPr="004D7EFF">
        <w:rPr>
          <w:sz w:val="24"/>
          <w:szCs w:val="24"/>
        </w:rPr>
        <w:t xml:space="preserve"> </w:t>
      </w:r>
      <w:r w:rsidRPr="004D7EFF">
        <w:rPr>
          <w:sz w:val="24"/>
          <w:szCs w:val="24"/>
        </w:rPr>
        <w:t>Chesney, E., Goodwin, G.M. &amp;</w:t>
      </w:r>
      <w:r w:rsidR="004C22B7" w:rsidRPr="004D7EFF">
        <w:rPr>
          <w:sz w:val="24"/>
          <w:szCs w:val="24"/>
        </w:rPr>
        <w:t xml:space="preserve"> </w:t>
      </w:r>
      <w:proofErr w:type="spellStart"/>
      <w:r w:rsidRPr="004D7EFF">
        <w:rPr>
          <w:sz w:val="24"/>
          <w:szCs w:val="24"/>
        </w:rPr>
        <w:t>Fazel</w:t>
      </w:r>
      <w:proofErr w:type="spellEnd"/>
      <w:r w:rsidRPr="004D7EFF">
        <w:rPr>
          <w:sz w:val="24"/>
          <w:szCs w:val="24"/>
        </w:rPr>
        <w:t>, S. (2014)</w:t>
      </w:r>
      <w:r w:rsidR="00BF5137" w:rsidRPr="004D7EFF">
        <w:rPr>
          <w:sz w:val="24"/>
          <w:szCs w:val="24"/>
        </w:rPr>
        <w:t xml:space="preserve"> </w:t>
      </w:r>
      <w:r w:rsidRPr="004D7EFF">
        <w:rPr>
          <w:sz w:val="24"/>
          <w:szCs w:val="24"/>
        </w:rPr>
        <w:t xml:space="preserve">Risks of all-cause and suicide mortality in mental disorders: A meta-review. </w:t>
      </w:r>
      <w:r w:rsidRPr="004D7EFF">
        <w:rPr>
          <w:i/>
          <w:sz w:val="24"/>
          <w:szCs w:val="24"/>
        </w:rPr>
        <w:t>World Psychiatry, 13</w:t>
      </w:r>
      <w:r w:rsidRPr="004D7EFF">
        <w:rPr>
          <w:sz w:val="24"/>
          <w:szCs w:val="24"/>
        </w:rPr>
        <w:t>(2), 153-160.</w:t>
      </w:r>
    </w:p>
  </w:endnote>
  <w:endnote w:id="5">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00954765" w:rsidRPr="004D7EFF">
        <w:rPr>
          <w:rFonts w:cs="Arial"/>
          <w:sz w:val="24"/>
          <w:szCs w:val="24"/>
        </w:rPr>
        <w:t xml:space="preserve"> </w:t>
      </w:r>
      <w:proofErr w:type="spellStart"/>
      <w:r w:rsidRPr="004D7EFF">
        <w:rPr>
          <w:rFonts w:cs="Arial"/>
          <w:sz w:val="24"/>
          <w:szCs w:val="24"/>
        </w:rPr>
        <w:t>Arcelus</w:t>
      </w:r>
      <w:proofErr w:type="spellEnd"/>
      <w:r w:rsidRPr="004D7EFF">
        <w:rPr>
          <w:rFonts w:cs="Arial"/>
          <w:sz w:val="24"/>
          <w:szCs w:val="24"/>
        </w:rPr>
        <w:t>, J., Mitchell, A.J., Wales, J. et al. (2011) Mortality rates in patients with anorexia nervosa and other eating disorders: A meta-analysis of 36 studies.</w:t>
      </w:r>
      <w:r w:rsidRPr="004D7EFF">
        <w:rPr>
          <w:rFonts w:cs="Arial"/>
          <w:i/>
          <w:sz w:val="24"/>
          <w:szCs w:val="24"/>
        </w:rPr>
        <w:t xml:space="preserve"> Archives of General Psychiatry, 68</w:t>
      </w:r>
      <w:r w:rsidRPr="004D7EFF">
        <w:rPr>
          <w:rFonts w:cs="Arial"/>
          <w:sz w:val="24"/>
          <w:szCs w:val="24"/>
        </w:rPr>
        <w:t>(7), 724-731.</w:t>
      </w:r>
    </w:p>
  </w:endnote>
  <w:endnote w:id="6">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00954765" w:rsidRPr="004D7EFF">
        <w:rPr>
          <w:sz w:val="24"/>
          <w:szCs w:val="24"/>
        </w:rPr>
        <w:t xml:space="preserve"> </w:t>
      </w:r>
      <w:proofErr w:type="spellStart"/>
      <w:r w:rsidRPr="004D7EFF">
        <w:rPr>
          <w:sz w:val="24"/>
          <w:szCs w:val="24"/>
        </w:rPr>
        <w:t>Swinbourne</w:t>
      </w:r>
      <w:proofErr w:type="spellEnd"/>
      <w:r w:rsidRPr="004D7EFF">
        <w:rPr>
          <w:sz w:val="24"/>
          <w:szCs w:val="24"/>
        </w:rPr>
        <w:t xml:space="preserve">, J., Hunt, C., Abbott, M. et al. (2012) </w:t>
      </w:r>
      <w:proofErr w:type="gramStart"/>
      <w:r w:rsidRPr="004D7EFF">
        <w:rPr>
          <w:sz w:val="24"/>
          <w:szCs w:val="24"/>
        </w:rPr>
        <w:t>The</w:t>
      </w:r>
      <w:proofErr w:type="gramEnd"/>
      <w:r w:rsidRPr="004D7EFF">
        <w:rPr>
          <w:sz w:val="24"/>
          <w:szCs w:val="24"/>
        </w:rPr>
        <w:t xml:space="preserve"> comorbidity between eating disorders and anxiety disorders: Prevalence in an eating disorder sample and anxiety disorder sample. </w:t>
      </w:r>
      <w:r w:rsidRPr="004D7EFF">
        <w:rPr>
          <w:i/>
          <w:sz w:val="24"/>
          <w:szCs w:val="24"/>
        </w:rPr>
        <w:t>Australian and New Zealand Journal of Psychiatry, 46</w:t>
      </w:r>
      <w:r w:rsidRPr="004D7EFF">
        <w:rPr>
          <w:sz w:val="24"/>
          <w:szCs w:val="24"/>
        </w:rPr>
        <w:t>(2), 118-131.</w:t>
      </w:r>
    </w:p>
  </w:endnote>
  <w:endnote w:id="7">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00954765" w:rsidRPr="004D7EFF">
        <w:rPr>
          <w:sz w:val="24"/>
          <w:szCs w:val="24"/>
        </w:rPr>
        <w:t xml:space="preserve"> </w:t>
      </w:r>
      <w:r w:rsidRPr="004D7EFF">
        <w:rPr>
          <w:sz w:val="24"/>
          <w:szCs w:val="24"/>
        </w:rPr>
        <w:t xml:space="preserve">Kaye, W.H., </w:t>
      </w:r>
      <w:proofErr w:type="spellStart"/>
      <w:r w:rsidRPr="004D7EFF">
        <w:rPr>
          <w:sz w:val="24"/>
          <w:szCs w:val="24"/>
        </w:rPr>
        <w:t>Bulik</w:t>
      </w:r>
      <w:proofErr w:type="spellEnd"/>
      <w:r w:rsidRPr="004D7EFF">
        <w:rPr>
          <w:sz w:val="24"/>
          <w:szCs w:val="24"/>
        </w:rPr>
        <w:t xml:space="preserve">, C.M., Thornton, L. et al. (2004) Comorbidity of anxiety disorders with anorexia and bulimia nervosa. </w:t>
      </w:r>
      <w:r w:rsidRPr="004D7EFF">
        <w:rPr>
          <w:i/>
          <w:sz w:val="24"/>
          <w:szCs w:val="24"/>
        </w:rPr>
        <w:t>The American Journal of Psychiatry, 161</w:t>
      </w:r>
      <w:r w:rsidRPr="004D7EFF">
        <w:rPr>
          <w:sz w:val="24"/>
          <w:szCs w:val="24"/>
        </w:rPr>
        <w:t>(12), 2215-2221.</w:t>
      </w:r>
    </w:p>
  </w:endnote>
  <w:endnote w:id="8">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00954765" w:rsidRPr="004D7EFF">
        <w:rPr>
          <w:sz w:val="24"/>
          <w:szCs w:val="24"/>
        </w:rPr>
        <w:t xml:space="preserve"> </w:t>
      </w:r>
      <w:r w:rsidRPr="004D7EFF">
        <w:rPr>
          <w:sz w:val="24"/>
          <w:szCs w:val="24"/>
        </w:rPr>
        <w:t xml:space="preserve">Pallister, E. &amp; Waller, G. (2008) Anxiety in the eating disorders: Understanding the overlap. </w:t>
      </w:r>
      <w:r w:rsidRPr="004D7EFF">
        <w:rPr>
          <w:i/>
          <w:sz w:val="24"/>
          <w:szCs w:val="24"/>
        </w:rPr>
        <w:t>Clinical Psychology Review,</w:t>
      </w:r>
      <w:r w:rsidRPr="004D7EFF">
        <w:rPr>
          <w:sz w:val="24"/>
          <w:szCs w:val="24"/>
        </w:rPr>
        <w:t xml:space="preserve"> 28(3)</w:t>
      </w:r>
      <w:proofErr w:type="gramStart"/>
      <w:r w:rsidRPr="004D7EFF">
        <w:rPr>
          <w:sz w:val="24"/>
          <w:szCs w:val="24"/>
        </w:rPr>
        <w:t>,366</w:t>
      </w:r>
      <w:proofErr w:type="gramEnd"/>
      <w:r w:rsidRPr="004D7EFF">
        <w:rPr>
          <w:sz w:val="24"/>
          <w:szCs w:val="24"/>
        </w:rPr>
        <w:t>-386.</w:t>
      </w:r>
    </w:p>
  </w:endnote>
  <w:endnote w:id="9">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Pr="004D7EFF">
        <w:rPr>
          <w:sz w:val="24"/>
          <w:szCs w:val="24"/>
        </w:rPr>
        <w:t xml:space="preserve"> Hughes, E., Goldschmidt, A.B., </w:t>
      </w:r>
      <w:proofErr w:type="spellStart"/>
      <w:r w:rsidRPr="004D7EFF">
        <w:rPr>
          <w:sz w:val="24"/>
          <w:szCs w:val="24"/>
        </w:rPr>
        <w:t>Labuschagne</w:t>
      </w:r>
      <w:proofErr w:type="spellEnd"/>
      <w:r w:rsidRPr="004D7EFF">
        <w:rPr>
          <w:sz w:val="24"/>
          <w:szCs w:val="24"/>
        </w:rPr>
        <w:t>, Z. (2013) Eating disorders with and without comorbid depression and anxiety: Similarities and differences in a clinical sample of children and adolescents.</w:t>
      </w:r>
      <w:r w:rsidR="00D4656D" w:rsidRPr="004D7EFF">
        <w:rPr>
          <w:sz w:val="24"/>
          <w:szCs w:val="24"/>
        </w:rPr>
        <w:t xml:space="preserve"> </w:t>
      </w:r>
      <w:proofErr w:type="gramStart"/>
      <w:r w:rsidRPr="004D7EFF">
        <w:rPr>
          <w:i/>
          <w:sz w:val="24"/>
          <w:szCs w:val="24"/>
        </w:rPr>
        <w:t>European Eating Disorders Review, 21</w:t>
      </w:r>
      <w:r w:rsidRPr="004D7EFF">
        <w:rPr>
          <w:sz w:val="24"/>
          <w:szCs w:val="24"/>
        </w:rPr>
        <w:t>(5), 386-94.</w:t>
      </w:r>
      <w:proofErr w:type="gramEnd"/>
    </w:p>
  </w:endnote>
  <w:endnote w:id="10">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00954765" w:rsidRPr="004D7EFF">
        <w:rPr>
          <w:sz w:val="24"/>
          <w:szCs w:val="24"/>
        </w:rPr>
        <w:t xml:space="preserve"> </w:t>
      </w:r>
      <w:r w:rsidRPr="004D7EFF">
        <w:rPr>
          <w:sz w:val="24"/>
          <w:szCs w:val="24"/>
        </w:rPr>
        <w:t xml:space="preserve">Araujo, D.M., Santos, G.F., </w:t>
      </w:r>
      <w:proofErr w:type="spellStart"/>
      <w:r w:rsidRPr="004D7EFF">
        <w:rPr>
          <w:sz w:val="24"/>
          <w:szCs w:val="24"/>
        </w:rPr>
        <w:t>Nardi</w:t>
      </w:r>
      <w:proofErr w:type="spellEnd"/>
      <w:r w:rsidRPr="004D7EFF">
        <w:rPr>
          <w:sz w:val="24"/>
          <w:szCs w:val="24"/>
        </w:rPr>
        <w:t>, A.E. (2010) Binge eating disorder and depression: A systematic review.</w:t>
      </w:r>
      <w:r w:rsidR="00D4656D" w:rsidRPr="004D7EFF">
        <w:rPr>
          <w:sz w:val="24"/>
          <w:szCs w:val="24"/>
        </w:rPr>
        <w:t xml:space="preserve"> </w:t>
      </w:r>
      <w:r w:rsidRPr="004D7EFF">
        <w:rPr>
          <w:rStyle w:val="Emphasis"/>
          <w:sz w:val="24"/>
          <w:szCs w:val="24"/>
        </w:rPr>
        <w:t>World Journal of Biological Psychiatry</w:t>
      </w:r>
      <w:proofErr w:type="gramStart"/>
      <w:r w:rsidRPr="004D7EFF">
        <w:rPr>
          <w:rStyle w:val="Emphasis"/>
          <w:sz w:val="24"/>
          <w:szCs w:val="24"/>
        </w:rPr>
        <w:t>,</w:t>
      </w:r>
      <w:r w:rsidRPr="004D7EFF">
        <w:rPr>
          <w:i/>
          <w:sz w:val="24"/>
          <w:szCs w:val="24"/>
        </w:rPr>
        <w:t>11</w:t>
      </w:r>
      <w:proofErr w:type="gramEnd"/>
      <w:r w:rsidRPr="004D7EFF">
        <w:rPr>
          <w:sz w:val="24"/>
          <w:szCs w:val="24"/>
        </w:rPr>
        <w:t xml:space="preserve">(2 Pt 2), 199-207. </w:t>
      </w:r>
    </w:p>
  </w:endnote>
  <w:endnote w:id="11">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00954765" w:rsidRPr="004D7EFF">
        <w:rPr>
          <w:sz w:val="24"/>
          <w:szCs w:val="24"/>
        </w:rPr>
        <w:t xml:space="preserve"> </w:t>
      </w:r>
      <w:proofErr w:type="spellStart"/>
      <w:r w:rsidRPr="004D7EFF">
        <w:rPr>
          <w:sz w:val="24"/>
          <w:szCs w:val="24"/>
        </w:rPr>
        <w:t>Presnell</w:t>
      </w:r>
      <w:proofErr w:type="spellEnd"/>
      <w:r w:rsidRPr="004D7EFF">
        <w:rPr>
          <w:sz w:val="24"/>
          <w:szCs w:val="24"/>
        </w:rPr>
        <w:t xml:space="preserve">, K., </w:t>
      </w:r>
      <w:proofErr w:type="spellStart"/>
      <w:r w:rsidRPr="004D7EFF">
        <w:rPr>
          <w:sz w:val="24"/>
          <w:szCs w:val="24"/>
        </w:rPr>
        <w:t>Stice</w:t>
      </w:r>
      <w:proofErr w:type="spellEnd"/>
      <w:r w:rsidRPr="004D7EFF">
        <w:rPr>
          <w:sz w:val="24"/>
          <w:szCs w:val="24"/>
        </w:rPr>
        <w:t>, E., Seidel, A. et al. (2009) Depression and eating pathology: prospective reciprocal relations in adolescents.</w:t>
      </w:r>
      <w:r w:rsidR="00D4656D" w:rsidRPr="004D7EFF">
        <w:rPr>
          <w:sz w:val="24"/>
          <w:szCs w:val="24"/>
        </w:rPr>
        <w:t xml:space="preserve"> </w:t>
      </w:r>
      <w:proofErr w:type="gramStart"/>
      <w:r w:rsidRPr="004D7EFF">
        <w:rPr>
          <w:i/>
          <w:sz w:val="24"/>
          <w:szCs w:val="24"/>
        </w:rPr>
        <w:t>Clinical Psychology &amp; Psychotherapy, 16</w:t>
      </w:r>
      <w:r w:rsidRPr="004D7EFF">
        <w:rPr>
          <w:sz w:val="24"/>
          <w:szCs w:val="24"/>
        </w:rPr>
        <w:t>(4), 357-65.</w:t>
      </w:r>
      <w:proofErr w:type="gramEnd"/>
    </w:p>
  </w:endnote>
  <w:endnote w:id="12">
    <w:p w:rsidR="00D778DE" w:rsidRPr="004D7EFF" w:rsidRDefault="00D778DE" w:rsidP="004D7EFF">
      <w:pPr>
        <w:spacing w:line="360" w:lineRule="auto"/>
        <w:rPr>
          <w:rFonts w:cs="Arial"/>
          <w:b/>
          <w:szCs w:val="24"/>
        </w:rPr>
      </w:pPr>
      <w:r w:rsidRPr="004D7EFF">
        <w:rPr>
          <w:rStyle w:val="EndnoteReference"/>
          <w:szCs w:val="24"/>
        </w:rPr>
        <w:endnoteRef/>
      </w:r>
      <w:r w:rsidR="00954765" w:rsidRPr="004D7EFF">
        <w:rPr>
          <w:rFonts w:cs="Arial"/>
          <w:szCs w:val="24"/>
        </w:rPr>
        <w:t xml:space="preserve"> </w:t>
      </w:r>
      <w:proofErr w:type="spellStart"/>
      <w:r w:rsidRPr="004D7EFF">
        <w:rPr>
          <w:rFonts w:cs="Arial"/>
          <w:szCs w:val="24"/>
        </w:rPr>
        <w:t>Verschueren</w:t>
      </w:r>
      <w:proofErr w:type="spellEnd"/>
      <w:r w:rsidRPr="004D7EFF">
        <w:rPr>
          <w:rFonts w:cs="Arial"/>
          <w:szCs w:val="24"/>
        </w:rPr>
        <w:t>, S.</w:t>
      </w:r>
      <w:proofErr w:type="gramStart"/>
      <w:r w:rsidRPr="004D7EFF">
        <w:rPr>
          <w:rFonts w:cs="Arial"/>
          <w:szCs w:val="24"/>
        </w:rPr>
        <w:t>,</w:t>
      </w:r>
      <w:proofErr w:type="spellStart"/>
      <w:r w:rsidRPr="004D7EFF">
        <w:rPr>
          <w:rFonts w:cs="Arial"/>
          <w:szCs w:val="24"/>
        </w:rPr>
        <w:t>Berends</w:t>
      </w:r>
      <w:proofErr w:type="spellEnd"/>
      <w:proofErr w:type="gramEnd"/>
      <w:r w:rsidRPr="004D7EFF">
        <w:rPr>
          <w:rFonts w:cs="Arial"/>
          <w:szCs w:val="24"/>
        </w:rPr>
        <w:t>, T., Kool-</w:t>
      </w:r>
      <w:proofErr w:type="spellStart"/>
      <w:r w:rsidRPr="004D7EFF">
        <w:rPr>
          <w:rFonts w:cs="Arial"/>
          <w:szCs w:val="24"/>
        </w:rPr>
        <w:t>Goudzwaard</w:t>
      </w:r>
      <w:proofErr w:type="spellEnd"/>
      <w:r w:rsidRPr="004D7EFF">
        <w:rPr>
          <w:rFonts w:cs="Arial"/>
          <w:szCs w:val="24"/>
        </w:rPr>
        <w:t>, N. et al. (2015) Patients with anorexia nervosa who self-injure: A phenomenological study.</w:t>
      </w:r>
      <w:r w:rsidR="007D5D31" w:rsidRPr="004D7EFF">
        <w:rPr>
          <w:rFonts w:cs="Arial"/>
          <w:szCs w:val="24"/>
        </w:rPr>
        <w:t xml:space="preserve"> </w:t>
      </w:r>
      <w:r w:rsidRPr="004D7EFF">
        <w:rPr>
          <w:rFonts w:cs="Arial"/>
          <w:i/>
          <w:szCs w:val="24"/>
        </w:rPr>
        <w:t>Perspectives in Psychiatric Care, 51</w:t>
      </w:r>
      <w:r w:rsidRPr="004D7EFF">
        <w:rPr>
          <w:rFonts w:cs="Arial"/>
          <w:szCs w:val="24"/>
        </w:rPr>
        <w:t>(1), 63-70.</w:t>
      </w:r>
    </w:p>
  </w:endnote>
  <w:endnote w:id="13">
    <w:p w:rsidR="00D778DE" w:rsidRPr="004D7EFF" w:rsidRDefault="00D778DE" w:rsidP="004D7EFF">
      <w:pPr>
        <w:spacing w:line="360" w:lineRule="auto"/>
        <w:rPr>
          <w:rFonts w:cs="Arial"/>
          <w:szCs w:val="24"/>
        </w:rPr>
      </w:pPr>
      <w:r w:rsidRPr="004D7EFF">
        <w:rPr>
          <w:rStyle w:val="EndnoteReference"/>
          <w:rFonts w:cs="Arial"/>
          <w:szCs w:val="24"/>
        </w:rPr>
        <w:endnoteRef/>
      </w:r>
      <w:r w:rsidR="00954765" w:rsidRPr="004D7EFF">
        <w:rPr>
          <w:rFonts w:cs="Arial"/>
          <w:szCs w:val="24"/>
        </w:rPr>
        <w:t xml:space="preserve"> </w:t>
      </w:r>
      <w:proofErr w:type="spellStart"/>
      <w:r w:rsidRPr="004D7EFF">
        <w:rPr>
          <w:rFonts w:cs="Arial"/>
          <w:szCs w:val="24"/>
        </w:rPr>
        <w:t>Claes</w:t>
      </w:r>
      <w:proofErr w:type="spellEnd"/>
      <w:r w:rsidRPr="004D7EFF">
        <w:rPr>
          <w:rFonts w:cs="Arial"/>
          <w:szCs w:val="24"/>
        </w:rPr>
        <w:t>, L.,</w:t>
      </w:r>
      <w:proofErr w:type="spellStart"/>
      <w:r w:rsidRPr="004D7EFF">
        <w:rPr>
          <w:rFonts w:cs="Arial"/>
          <w:szCs w:val="24"/>
        </w:rPr>
        <w:t>Norré</w:t>
      </w:r>
      <w:proofErr w:type="spellEnd"/>
      <w:r w:rsidRPr="004D7EFF">
        <w:rPr>
          <w:rFonts w:cs="Arial"/>
          <w:szCs w:val="24"/>
        </w:rPr>
        <w:t xml:space="preserve">, J., Van </w:t>
      </w:r>
      <w:proofErr w:type="spellStart"/>
      <w:r w:rsidRPr="004D7EFF">
        <w:rPr>
          <w:rFonts w:cs="Arial"/>
          <w:szCs w:val="24"/>
        </w:rPr>
        <w:t>Assche</w:t>
      </w:r>
      <w:proofErr w:type="spellEnd"/>
      <w:r w:rsidRPr="004D7EFF">
        <w:rPr>
          <w:rFonts w:cs="Arial"/>
          <w:szCs w:val="24"/>
        </w:rPr>
        <w:t>, L. et al. (2014)</w:t>
      </w:r>
      <w:r w:rsidR="00BF5137" w:rsidRPr="004D7EFF">
        <w:rPr>
          <w:rFonts w:cs="Arial"/>
          <w:szCs w:val="24"/>
        </w:rPr>
        <w:t xml:space="preserve"> </w:t>
      </w:r>
      <w:r w:rsidRPr="004D7EFF">
        <w:rPr>
          <w:rFonts w:cs="Arial"/>
          <w:szCs w:val="24"/>
        </w:rPr>
        <w:t xml:space="preserve">Non-suicidal self-injury (functions) in eating disorders: Associations with reactive and regulative temperament. </w:t>
      </w:r>
      <w:r w:rsidRPr="004D7EFF">
        <w:rPr>
          <w:rFonts w:cs="Arial"/>
          <w:i/>
          <w:szCs w:val="24"/>
        </w:rPr>
        <w:t xml:space="preserve">Personality and Individual Differences, 57, </w:t>
      </w:r>
      <w:r w:rsidRPr="004D7EFF">
        <w:rPr>
          <w:rFonts w:cs="Arial"/>
          <w:szCs w:val="24"/>
        </w:rPr>
        <w:t>65-69.</w:t>
      </w:r>
    </w:p>
  </w:endnote>
  <w:endnote w:id="14">
    <w:p w:rsidR="00D778DE" w:rsidRPr="004D7EFF" w:rsidRDefault="00D778DE" w:rsidP="004D7EFF">
      <w:pPr>
        <w:spacing w:line="360" w:lineRule="auto"/>
        <w:rPr>
          <w:rFonts w:cs="Arial"/>
          <w:szCs w:val="24"/>
        </w:rPr>
      </w:pPr>
      <w:r w:rsidRPr="004D7EFF">
        <w:rPr>
          <w:rStyle w:val="EndnoteReference"/>
          <w:rFonts w:cs="Arial"/>
          <w:szCs w:val="24"/>
        </w:rPr>
        <w:endnoteRef/>
      </w:r>
      <w:r w:rsidR="00954765" w:rsidRPr="004D7EFF">
        <w:rPr>
          <w:rFonts w:cs="Arial"/>
          <w:szCs w:val="24"/>
        </w:rPr>
        <w:t xml:space="preserve"> </w:t>
      </w:r>
      <w:proofErr w:type="spellStart"/>
      <w:r w:rsidRPr="004D7EFF">
        <w:rPr>
          <w:rFonts w:cs="Arial"/>
          <w:szCs w:val="24"/>
        </w:rPr>
        <w:t>Claes</w:t>
      </w:r>
      <w:proofErr w:type="spellEnd"/>
      <w:r w:rsidRPr="004D7EFF">
        <w:rPr>
          <w:rFonts w:cs="Arial"/>
          <w:szCs w:val="24"/>
        </w:rPr>
        <w:t>, L.</w:t>
      </w:r>
      <w:proofErr w:type="gramStart"/>
      <w:r w:rsidRPr="004D7EFF">
        <w:rPr>
          <w:rFonts w:cs="Arial"/>
          <w:szCs w:val="24"/>
        </w:rPr>
        <w:t>,</w:t>
      </w:r>
      <w:proofErr w:type="spellStart"/>
      <w:r w:rsidRPr="004D7EFF">
        <w:rPr>
          <w:rFonts w:cs="Arial"/>
          <w:szCs w:val="24"/>
        </w:rPr>
        <w:t>Fernández</w:t>
      </w:r>
      <w:proofErr w:type="spellEnd"/>
      <w:proofErr w:type="gramEnd"/>
      <w:r w:rsidRPr="004D7EFF">
        <w:rPr>
          <w:rFonts w:cs="Arial"/>
          <w:szCs w:val="24"/>
        </w:rPr>
        <w:t>-Aranda, F., Jimenez-Murcia, S. et al. (2013) Co-occurrence of non-suicidal self-injury and impulsivity in extreme weight conditions.</w:t>
      </w:r>
      <w:r w:rsidR="005D2986" w:rsidRPr="004D7EFF">
        <w:rPr>
          <w:rFonts w:cs="Arial"/>
          <w:szCs w:val="24"/>
        </w:rPr>
        <w:t xml:space="preserve"> </w:t>
      </w:r>
      <w:r w:rsidRPr="004D7EFF">
        <w:rPr>
          <w:rFonts w:cs="Arial"/>
          <w:i/>
          <w:szCs w:val="24"/>
        </w:rPr>
        <w:t>Personality and Individual Differences, 54</w:t>
      </w:r>
      <w:r w:rsidRPr="004D7EFF">
        <w:rPr>
          <w:rFonts w:cs="Arial"/>
          <w:szCs w:val="24"/>
        </w:rPr>
        <w:t xml:space="preserve">(1), 137-140. </w:t>
      </w:r>
    </w:p>
  </w:endnote>
  <w:endnote w:id="15">
    <w:p w:rsidR="00D778DE" w:rsidRPr="004D7EFF" w:rsidRDefault="00D778DE" w:rsidP="004D7EFF">
      <w:pPr>
        <w:spacing w:line="360" w:lineRule="auto"/>
        <w:rPr>
          <w:rFonts w:cs="Arial"/>
          <w:szCs w:val="24"/>
        </w:rPr>
      </w:pPr>
      <w:r w:rsidRPr="004D7EFF">
        <w:rPr>
          <w:rStyle w:val="EndnoteReference"/>
          <w:rFonts w:cs="Arial"/>
          <w:szCs w:val="24"/>
        </w:rPr>
        <w:endnoteRef/>
      </w:r>
      <w:r w:rsidR="00954765" w:rsidRPr="004D7EFF">
        <w:rPr>
          <w:rFonts w:cs="Arial"/>
          <w:szCs w:val="24"/>
        </w:rPr>
        <w:t xml:space="preserve"> </w:t>
      </w:r>
      <w:proofErr w:type="spellStart"/>
      <w:r w:rsidRPr="004D7EFF">
        <w:rPr>
          <w:rFonts w:cs="Arial"/>
          <w:szCs w:val="24"/>
        </w:rPr>
        <w:t>Claes</w:t>
      </w:r>
      <w:proofErr w:type="spellEnd"/>
      <w:r w:rsidRPr="004D7EFF">
        <w:rPr>
          <w:rFonts w:cs="Arial"/>
          <w:szCs w:val="24"/>
        </w:rPr>
        <w:t xml:space="preserve">, L., </w:t>
      </w:r>
      <w:proofErr w:type="spellStart"/>
      <w:r w:rsidRPr="004D7EFF">
        <w:rPr>
          <w:rFonts w:cs="Arial"/>
          <w:szCs w:val="24"/>
        </w:rPr>
        <w:t>Soenens</w:t>
      </w:r>
      <w:proofErr w:type="spellEnd"/>
      <w:r w:rsidRPr="004D7EFF">
        <w:rPr>
          <w:rFonts w:cs="Arial"/>
          <w:szCs w:val="24"/>
        </w:rPr>
        <w:t xml:space="preserve">, B., </w:t>
      </w:r>
      <w:proofErr w:type="spellStart"/>
      <w:r w:rsidRPr="004D7EFF">
        <w:rPr>
          <w:rFonts w:cs="Arial"/>
          <w:szCs w:val="24"/>
        </w:rPr>
        <w:t>Vansteenkiste</w:t>
      </w:r>
      <w:proofErr w:type="spellEnd"/>
      <w:r w:rsidRPr="004D7EFF">
        <w:rPr>
          <w:rFonts w:cs="Arial"/>
          <w:szCs w:val="24"/>
        </w:rPr>
        <w:t>, M. et al. (2012)</w:t>
      </w:r>
      <w:r w:rsidR="00BF5137" w:rsidRPr="004D7EFF">
        <w:rPr>
          <w:rFonts w:cs="Arial"/>
          <w:szCs w:val="24"/>
        </w:rPr>
        <w:t xml:space="preserve"> </w:t>
      </w:r>
      <w:proofErr w:type="gramStart"/>
      <w:r w:rsidRPr="004D7EFF">
        <w:rPr>
          <w:rFonts w:cs="Arial"/>
          <w:szCs w:val="24"/>
        </w:rPr>
        <w:t>The</w:t>
      </w:r>
      <w:proofErr w:type="gramEnd"/>
      <w:r w:rsidRPr="004D7EFF">
        <w:rPr>
          <w:rFonts w:cs="Arial"/>
          <w:szCs w:val="24"/>
        </w:rPr>
        <w:t xml:space="preserve"> scars of the inner critic: perfectionism and </w:t>
      </w:r>
      <w:proofErr w:type="spellStart"/>
      <w:r w:rsidRPr="004D7EFF">
        <w:rPr>
          <w:rFonts w:cs="Arial"/>
          <w:szCs w:val="24"/>
        </w:rPr>
        <w:t>nonsuicidal</w:t>
      </w:r>
      <w:proofErr w:type="spellEnd"/>
      <w:r w:rsidRPr="004D7EFF">
        <w:rPr>
          <w:rFonts w:cs="Arial"/>
          <w:szCs w:val="24"/>
        </w:rPr>
        <w:t xml:space="preserve"> self-injury in eating disorders. </w:t>
      </w:r>
      <w:r w:rsidRPr="004D7EFF">
        <w:rPr>
          <w:rFonts w:cs="Arial"/>
          <w:i/>
          <w:szCs w:val="24"/>
        </w:rPr>
        <w:t>European Eating Disorders Review</w:t>
      </w:r>
      <w:proofErr w:type="gramStart"/>
      <w:r w:rsidRPr="004D7EFF">
        <w:rPr>
          <w:rFonts w:cs="Arial"/>
          <w:i/>
          <w:szCs w:val="24"/>
        </w:rPr>
        <w:t>,20</w:t>
      </w:r>
      <w:proofErr w:type="gramEnd"/>
      <w:r w:rsidRPr="004D7EFF">
        <w:rPr>
          <w:rFonts w:cs="Arial"/>
          <w:szCs w:val="24"/>
        </w:rPr>
        <w:t>(3), 196-202.</w:t>
      </w:r>
    </w:p>
  </w:endnote>
  <w:endnote w:id="16">
    <w:p w:rsidR="00D778DE" w:rsidRPr="004D7EFF" w:rsidRDefault="00D778DE" w:rsidP="004D7EFF">
      <w:pPr>
        <w:spacing w:line="360" w:lineRule="auto"/>
        <w:rPr>
          <w:szCs w:val="24"/>
        </w:rPr>
      </w:pPr>
      <w:r w:rsidRPr="004D7EFF">
        <w:rPr>
          <w:rStyle w:val="EndnoteReference"/>
          <w:szCs w:val="24"/>
        </w:rPr>
        <w:endnoteRef/>
      </w:r>
      <w:r w:rsidR="00954765" w:rsidRPr="004D7EFF">
        <w:rPr>
          <w:szCs w:val="24"/>
        </w:rPr>
        <w:t xml:space="preserve"> </w:t>
      </w:r>
      <w:proofErr w:type="spellStart"/>
      <w:r w:rsidRPr="004D7EFF">
        <w:rPr>
          <w:szCs w:val="24"/>
        </w:rPr>
        <w:t>Claes</w:t>
      </w:r>
      <w:proofErr w:type="spellEnd"/>
      <w:r w:rsidRPr="004D7EFF">
        <w:rPr>
          <w:szCs w:val="24"/>
        </w:rPr>
        <w:t xml:space="preserve">, </w:t>
      </w:r>
      <w:proofErr w:type="spellStart"/>
      <w:r w:rsidRPr="004D7EFF">
        <w:rPr>
          <w:szCs w:val="24"/>
        </w:rPr>
        <w:t>L.,</w:t>
      </w:r>
      <w:r w:rsidRPr="004D7EFF">
        <w:rPr>
          <w:rFonts w:cs="Arial"/>
          <w:szCs w:val="24"/>
        </w:rPr>
        <w:t>Jimenez</w:t>
      </w:r>
      <w:proofErr w:type="spellEnd"/>
      <w:r w:rsidRPr="004D7EFF">
        <w:rPr>
          <w:rFonts w:cs="Arial"/>
          <w:szCs w:val="24"/>
        </w:rPr>
        <w:t xml:space="preserve">-Murcia, S. </w:t>
      </w:r>
      <w:proofErr w:type="spellStart"/>
      <w:r w:rsidRPr="004D7EFF">
        <w:rPr>
          <w:rFonts w:cs="Arial"/>
          <w:szCs w:val="24"/>
        </w:rPr>
        <w:t>Agüera</w:t>
      </w:r>
      <w:proofErr w:type="spellEnd"/>
      <w:r w:rsidRPr="004D7EFF">
        <w:rPr>
          <w:rFonts w:cs="Arial"/>
          <w:szCs w:val="24"/>
        </w:rPr>
        <w:t xml:space="preserve">, Z. et al. </w:t>
      </w:r>
      <w:r w:rsidRPr="004D7EFF">
        <w:rPr>
          <w:szCs w:val="24"/>
        </w:rPr>
        <w:t>(2012)</w:t>
      </w:r>
      <w:r w:rsidR="00D714C1" w:rsidRPr="004D7EFF">
        <w:rPr>
          <w:szCs w:val="24"/>
        </w:rPr>
        <w:t xml:space="preserve"> </w:t>
      </w:r>
      <w:r w:rsidRPr="004D7EFF">
        <w:rPr>
          <w:rFonts w:cs="Arial"/>
          <w:szCs w:val="24"/>
        </w:rPr>
        <w:t xml:space="preserve">Male eating disorder patients with and without non-suicidal self-injury: a comparison of psychopathological and personality features. </w:t>
      </w:r>
      <w:r w:rsidRPr="004D7EFF">
        <w:rPr>
          <w:rFonts w:cs="Arial"/>
          <w:i/>
          <w:szCs w:val="24"/>
        </w:rPr>
        <w:t>European Eating Disorders Review,</w:t>
      </w:r>
      <w:r w:rsidR="00472FCC" w:rsidRPr="004D7EFF">
        <w:rPr>
          <w:rFonts w:cs="Arial"/>
          <w:i/>
          <w:szCs w:val="24"/>
        </w:rPr>
        <w:t xml:space="preserve"> </w:t>
      </w:r>
      <w:r w:rsidRPr="004D7EFF">
        <w:rPr>
          <w:rFonts w:cs="Arial"/>
          <w:i/>
          <w:szCs w:val="24"/>
        </w:rPr>
        <w:t>20</w:t>
      </w:r>
      <w:r w:rsidRPr="004D7EFF">
        <w:rPr>
          <w:rFonts w:cs="Arial"/>
          <w:szCs w:val="24"/>
        </w:rPr>
        <w:t>(4), 335-338.</w:t>
      </w:r>
    </w:p>
  </w:endnote>
  <w:endnote w:id="17">
    <w:p w:rsidR="00D778DE" w:rsidRPr="004D7EFF" w:rsidRDefault="00D778DE" w:rsidP="004D7EFF">
      <w:pPr>
        <w:spacing w:line="360" w:lineRule="auto"/>
        <w:rPr>
          <w:szCs w:val="24"/>
        </w:rPr>
      </w:pPr>
      <w:r w:rsidRPr="004D7EFF">
        <w:rPr>
          <w:rStyle w:val="EndnoteReference"/>
          <w:szCs w:val="24"/>
        </w:rPr>
        <w:endnoteRef/>
      </w:r>
      <w:r w:rsidRPr="004D7EFF">
        <w:rPr>
          <w:szCs w:val="24"/>
        </w:rPr>
        <w:t xml:space="preserve"> Peebles, R., Wilson, J.L. &amp; Lock, J.D. (2011) Self-Injury in </w:t>
      </w:r>
      <w:r w:rsidRPr="004D7EFF">
        <w:rPr>
          <w:color w:val="000000" w:themeColor="text1"/>
          <w:szCs w:val="24"/>
        </w:rPr>
        <w:t>adolescents with eating disorders</w:t>
      </w:r>
      <w:r w:rsidRPr="004D7EFF">
        <w:rPr>
          <w:szCs w:val="24"/>
        </w:rPr>
        <w:t xml:space="preserve">: Correlates and provider bias. </w:t>
      </w:r>
      <w:r w:rsidRPr="004D7EFF">
        <w:rPr>
          <w:i/>
          <w:szCs w:val="24"/>
        </w:rPr>
        <w:t>Journal of Adolescent Health,</w:t>
      </w:r>
      <w:r w:rsidR="003D7C87" w:rsidRPr="004D7EFF">
        <w:rPr>
          <w:i/>
          <w:szCs w:val="24"/>
        </w:rPr>
        <w:t xml:space="preserve"> </w:t>
      </w:r>
      <w:r w:rsidRPr="004D7EFF">
        <w:rPr>
          <w:i/>
          <w:szCs w:val="24"/>
        </w:rPr>
        <w:t>48</w:t>
      </w:r>
      <w:r w:rsidRPr="004D7EFF">
        <w:rPr>
          <w:szCs w:val="24"/>
        </w:rPr>
        <w:t>(3), 310-313.</w:t>
      </w:r>
    </w:p>
    <w:p w:rsidR="00D778DE" w:rsidRPr="004D7EFF" w:rsidRDefault="00D778DE" w:rsidP="004D7EFF">
      <w:pPr>
        <w:pStyle w:val="EndnoteText"/>
        <w:spacing w:line="360" w:lineRule="auto"/>
        <w:rPr>
          <w:sz w:val="24"/>
          <w:szCs w:val="24"/>
        </w:rPr>
      </w:pPr>
    </w:p>
  </w:endnote>
  <w:endnote w:id="18">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00771DBB" w:rsidRPr="004D7EFF">
        <w:rPr>
          <w:sz w:val="24"/>
          <w:szCs w:val="24"/>
        </w:rPr>
        <w:t xml:space="preserve"> </w:t>
      </w:r>
      <w:r w:rsidRPr="004D7EFF">
        <w:rPr>
          <w:sz w:val="24"/>
          <w:szCs w:val="24"/>
        </w:rPr>
        <w:t>Crow, S.J., Swanson, S.A., le Grange, D. et al. (2014)</w:t>
      </w:r>
      <w:r w:rsidR="00D714C1" w:rsidRPr="004D7EFF">
        <w:rPr>
          <w:sz w:val="24"/>
          <w:szCs w:val="24"/>
        </w:rPr>
        <w:t xml:space="preserve"> </w:t>
      </w:r>
      <w:r w:rsidRPr="004D7EFF">
        <w:rPr>
          <w:sz w:val="24"/>
          <w:szCs w:val="24"/>
        </w:rPr>
        <w:t>Suicidal behaviour in adolescents and adults with bulimia nervosa.</w:t>
      </w:r>
      <w:r w:rsidR="003D7C87" w:rsidRPr="004D7EFF">
        <w:rPr>
          <w:sz w:val="24"/>
          <w:szCs w:val="24"/>
        </w:rPr>
        <w:t xml:space="preserve"> </w:t>
      </w:r>
      <w:proofErr w:type="gramStart"/>
      <w:r w:rsidRPr="004D7EFF">
        <w:rPr>
          <w:i/>
          <w:sz w:val="24"/>
          <w:szCs w:val="24"/>
        </w:rPr>
        <w:t>Comprehensive Psychiatry</w:t>
      </w:r>
      <w:r w:rsidRPr="004D7EFF">
        <w:rPr>
          <w:sz w:val="24"/>
          <w:szCs w:val="24"/>
        </w:rPr>
        <w:t xml:space="preserve">, </w:t>
      </w:r>
      <w:r w:rsidRPr="004D7EFF">
        <w:rPr>
          <w:i/>
          <w:sz w:val="24"/>
          <w:szCs w:val="24"/>
        </w:rPr>
        <w:t>55</w:t>
      </w:r>
      <w:r w:rsidRPr="004D7EFF">
        <w:rPr>
          <w:sz w:val="24"/>
          <w:szCs w:val="24"/>
        </w:rPr>
        <w:t>(7), 1534-9.</w:t>
      </w:r>
      <w:proofErr w:type="gramEnd"/>
    </w:p>
  </w:endnote>
  <w:endnote w:id="19">
    <w:p w:rsidR="00D778DE" w:rsidRPr="004D7EFF" w:rsidRDefault="00D778DE" w:rsidP="004D7EFF">
      <w:pPr>
        <w:pStyle w:val="EndnoteText"/>
        <w:spacing w:line="360" w:lineRule="auto"/>
        <w:rPr>
          <w:sz w:val="24"/>
          <w:szCs w:val="24"/>
        </w:rPr>
      </w:pPr>
      <w:r w:rsidRPr="004D7EFF">
        <w:rPr>
          <w:rStyle w:val="EndnoteReference"/>
          <w:sz w:val="24"/>
          <w:szCs w:val="24"/>
        </w:rPr>
        <w:endnoteRef/>
      </w:r>
      <w:r w:rsidR="00771DBB" w:rsidRPr="004D7EFF">
        <w:rPr>
          <w:sz w:val="24"/>
          <w:szCs w:val="24"/>
        </w:rPr>
        <w:t xml:space="preserve"> </w:t>
      </w:r>
      <w:proofErr w:type="spellStart"/>
      <w:proofErr w:type="gramStart"/>
      <w:r w:rsidRPr="004D7EFF">
        <w:rPr>
          <w:sz w:val="24"/>
          <w:szCs w:val="24"/>
        </w:rPr>
        <w:t>Suokas</w:t>
      </w:r>
      <w:proofErr w:type="spellEnd"/>
      <w:r w:rsidRPr="004D7EFF">
        <w:rPr>
          <w:sz w:val="24"/>
          <w:szCs w:val="24"/>
        </w:rPr>
        <w:t xml:space="preserve">, J.T., </w:t>
      </w:r>
      <w:proofErr w:type="spellStart"/>
      <w:r w:rsidRPr="004D7EFF">
        <w:rPr>
          <w:sz w:val="24"/>
          <w:szCs w:val="24"/>
        </w:rPr>
        <w:t>Suvisaari</w:t>
      </w:r>
      <w:proofErr w:type="spellEnd"/>
      <w:r w:rsidRPr="004D7EFF">
        <w:rPr>
          <w:sz w:val="24"/>
          <w:szCs w:val="24"/>
        </w:rPr>
        <w:t>, J.M., Grainger, M. (2014) Suicide attempts and mortality in eating disorders: a follow-up study of eating disorder patients.</w:t>
      </w:r>
      <w:proofErr w:type="gramEnd"/>
      <w:r w:rsidR="003D7C87" w:rsidRPr="004D7EFF">
        <w:rPr>
          <w:sz w:val="24"/>
          <w:szCs w:val="24"/>
        </w:rPr>
        <w:t xml:space="preserve"> </w:t>
      </w:r>
      <w:r w:rsidRPr="004D7EFF">
        <w:rPr>
          <w:i/>
          <w:sz w:val="24"/>
          <w:szCs w:val="24"/>
        </w:rPr>
        <w:t>General Hospital Psychiatry</w:t>
      </w:r>
      <w:proofErr w:type="gramStart"/>
      <w:r w:rsidRPr="004D7EFF">
        <w:rPr>
          <w:i/>
          <w:sz w:val="24"/>
          <w:szCs w:val="24"/>
        </w:rPr>
        <w:t>,36</w:t>
      </w:r>
      <w:proofErr w:type="gramEnd"/>
      <w:r w:rsidRPr="004D7EFF">
        <w:rPr>
          <w:sz w:val="24"/>
          <w:szCs w:val="24"/>
        </w:rPr>
        <w:t xml:space="preserve">(3), 355-357. </w:t>
      </w:r>
    </w:p>
  </w:endnote>
  <w:endnote w:id="20">
    <w:p w:rsidR="00136B98" w:rsidRPr="008B59E3" w:rsidRDefault="00136B98" w:rsidP="004D7EFF">
      <w:pPr>
        <w:pStyle w:val="EndnoteText"/>
        <w:spacing w:line="360" w:lineRule="auto"/>
        <w:rPr>
          <w:i/>
          <w:sz w:val="24"/>
          <w:szCs w:val="24"/>
        </w:rPr>
      </w:pPr>
      <w:r w:rsidRPr="004D7EFF">
        <w:rPr>
          <w:rStyle w:val="EndnoteReference"/>
          <w:sz w:val="24"/>
          <w:szCs w:val="24"/>
        </w:rPr>
        <w:endnoteRef/>
      </w:r>
      <w:r w:rsidR="00771DBB" w:rsidRPr="004D7EFF">
        <w:rPr>
          <w:sz w:val="24"/>
          <w:szCs w:val="24"/>
        </w:rPr>
        <w:t xml:space="preserve"> </w:t>
      </w:r>
      <w:proofErr w:type="gramStart"/>
      <w:r w:rsidRPr="004D7EFF">
        <w:rPr>
          <w:sz w:val="24"/>
          <w:szCs w:val="24"/>
        </w:rPr>
        <w:t>American Psychiatric Association</w:t>
      </w:r>
      <w:r w:rsidR="00684441" w:rsidRPr="004D7EFF">
        <w:rPr>
          <w:sz w:val="24"/>
          <w:szCs w:val="24"/>
        </w:rPr>
        <w:t xml:space="preserve"> (2013) </w:t>
      </w:r>
      <w:bookmarkStart w:id="0" w:name="_GoBack"/>
      <w:r w:rsidR="00684441" w:rsidRPr="008B59E3">
        <w:rPr>
          <w:i/>
          <w:sz w:val="24"/>
          <w:szCs w:val="24"/>
        </w:rPr>
        <w:t>Desk Reference to the Diagnostic Criteria from DSM-5</w:t>
      </w:r>
      <w:r w:rsidRPr="008B59E3">
        <w:rPr>
          <w:i/>
          <w:sz w:val="24"/>
          <w:szCs w:val="24"/>
        </w:rPr>
        <w:t>.</w:t>
      </w:r>
      <w:proofErr w:type="gramEnd"/>
    </w:p>
    <w:bookmarkEnd w:id="0"/>
  </w:endnote>
  <w:endnote w:id="21">
    <w:p w:rsidR="00ED2746" w:rsidRPr="004D7EFF" w:rsidRDefault="00ED2746" w:rsidP="004D7EFF">
      <w:pPr>
        <w:pStyle w:val="EndnoteText"/>
        <w:spacing w:line="360" w:lineRule="auto"/>
        <w:rPr>
          <w:sz w:val="24"/>
          <w:szCs w:val="24"/>
        </w:rPr>
      </w:pPr>
      <w:r w:rsidRPr="004D7EFF">
        <w:rPr>
          <w:rStyle w:val="EndnoteReference"/>
          <w:sz w:val="24"/>
          <w:szCs w:val="24"/>
        </w:rPr>
        <w:endnoteRef/>
      </w:r>
      <w:r w:rsidRPr="004D7EFF">
        <w:rPr>
          <w:sz w:val="24"/>
          <w:szCs w:val="24"/>
        </w:rPr>
        <w:t xml:space="preserve"> Health and Social Care Professionals Act 2005</w:t>
      </w:r>
    </w:p>
  </w:endnote>
  <w:endnote w:id="22">
    <w:p w:rsidR="007558D1" w:rsidRPr="004D7EFF" w:rsidRDefault="007558D1" w:rsidP="007558D1">
      <w:pPr>
        <w:spacing w:line="360" w:lineRule="auto"/>
        <w:rPr>
          <w:szCs w:val="24"/>
        </w:rPr>
      </w:pPr>
      <w:r w:rsidRPr="004D7EFF">
        <w:rPr>
          <w:rStyle w:val="EndnoteReference"/>
          <w:szCs w:val="24"/>
        </w:rPr>
        <w:endnoteRef/>
      </w:r>
      <w:r w:rsidRPr="004D7EFF">
        <w:rPr>
          <w:szCs w:val="24"/>
        </w:rPr>
        <w:t xml:space="preserve"> </w:t>
      </w:r>
      <w:r>
        <w:rPr>
          <w:szCs w:val="24"/>
        </w:rPr>
        <w:t xml:space="preserve">Irish Council for Psychotherapy (2015) </w:t>
      </w:r>
      <w:r w:rsidRPr="006D79D5">
        <w:rPr>
          <w:i/>
          <w:szCs w:val="24"/>
        </w:rPr>
        <w:t>P</w:t>
      </w:r>
      <w:r w:rsidRPr="006D79D5">
        <w:rPr>
          <w:rFonts w:eastAsia="Times New Roman" w:cs="Arial"/>
          <w:i/>
          <w:szCs w:val="24"/>
          <w:lang w:eastAsia="en-IE"/>
        </w:rPr>
        <w:t>osition paper on statutory registration and the distinction between the related professions of counselling and psychotherapy.</w:t>
      </w:r>
      <w:r>
        <w:rPr>
          <w:rFonts w:eastAsia="Times New Roman" w:cs="Arial"/>
          <w:szCs w:val="24"/>
          <w:lang w:eastAsia="en-IE"/>
        </w:rPr>
        <w:t xml:space="preserve"> </w:t>
      </w:r>
      <w:proofErr w:type="gramStart"/>
      <w:r>
        <w:rPr>
          <w:rFonts w:eastAsia="Times New Roman" w:cs="Arial"/>
          <w:szCs w:val="24"/>
          <w:lang w:eastAsia="en-IE"/>
        </w:rPr>
        <w:t>Accessed 15 November 2016.</w:t>
      </w:r>
      <w:proofErr w:type="gramEnd"/>
      <w:r>
        <w:rPr>
          <w:rFonts w:eastAsia="Times New Roman" w:cs="Arial"/>
          <w:szCs w:val="24"/>
          <w:lang w:eastAsia="en-IE"/>
        </w:rPr>
        <w:t xml:space="preserve"> Available from: </w:t>
      </w:r>
      <w:hyperlink r:id="rId1" w:history="1">
        <w:r w:rsidRPr="002A1194">
          <w:rPr>
            <w:rStyle w:val="Hyperlink"/>
            <w:rFonts w:eastAsia="Times New Roman" w:cs="Arial"/>
            <w:szCs w:val="24"/>
            <w:lang w:eastAsia="en-IE"/>
          </w:rPr>
          <w:t>http://www.psychotherapycouncil.ie/wp-content/uploads/2016/07/ICP-Position-Paper-January-2015.pdf</w:t>
        </w:r>
      </w:hyperlink>
      <w:r>
        <w:rPr>
          <w:rFonts w:eastAsia="Times New Roman" w:cs="Arial"/>
          <w:szCs w:val="24"/>
          <w:lang w:eastAsia="en-IE"/>
        </w:rPr>
        <w:t xml:space="preserve"> </w:t>
      </w:r>
    </w:p>
  </w:endnote>
  <w:endnote w:id="23">
    <w:p w:rsidR="007558D1" w:rsidRPr="004D7EFF" w:rsidRDefault="007558D1" w:rsidP="007558D1">
      <w:pPr>
        <w:pStyle w:val="EndnoteText"/>
        <w:spacing w:line="360" w:lineRule="auto"/>
        <w:rPr>
          <w:sz w:val="24"/>
          <w:szCs w:val="24"/>
        </w:rPr>
      </w:pPr>
      <w:r w:rsidRPr="004D7EFF">
        <w:rPr>
          <w:rStyle w:val="EndnoteReference"/>
          <w:sz w:val="24"/>
          <w:szCs w:val="24"/>
        </w:rPr>
        <w:endnoteRef/>
      </w:r>
      <w:r w:rsidRPr="004D7EFF">
        <w:rPr>
          <w:rFonts w:cs="Arial"/>
          <w:sz w:val="24"/>
          <w:szCs w:val="24"/>
        </w:rPr>
        <w:t xml:space="preserve"> </w:t>
      </w:r>
      <w:proofErr w:type="gramStart"/>
      <w:r w:rsidRPr="004D7EFF">
        <w:rPr>
          <w:rFonts w:cs="Arial"/>
          <w:sz w:val="24"/>
          <w:szCs w:val="24"/>
        </w:rPr>
        <w:t xml:space="preserve">Psychological Therapies Forum (2008) </w:t>
      </w:r>
      <w:r w:rsidRPr="004D7EFF">
        <w:rPr>
          <w:i/>
          <w:sz w:val="24"/>
          <w:szCs w:val="24"/>
        </w:rPr>
        <w:t>Submission on the Statutory Registration of Counsellors and Psychotherapists in Ireland.</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DE" w:rsidRDefault="00D778DE">
    <w:pPr>
      <w:pStyle w:val="Footer"/>
      <w:jc w:val="center"/>
    </w:pPr>
  </w:p>
  <w:p w:rsidR="00D778DE" w:rsidRDefault="00D77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213103"/>
      <w:docPartObj>
        <w:docPartGallery w:val="Page Numbers (Bottom of Page)"/>
        <w:docPartUnique/>
      </w:docPartObj>
    </w:sdtPr>
    <w:sdtEndPr>
      <w:rPr>
        <w:noProof/>
      </w:rPr>
    </w:sdtEndPr>
    <w:sdtContent>
      <w:p w:rsidR="00D778DE" w:rsidRDefault="009D4AF9">
        <w:pPr>
          <w:pStyle w:val="Footer"/>
          <w:jc w:val="center"/>
        </w:pPr>
        <w:r>
          <w:fldChar w:fldCharType="begin"/>
        </w:r>
        <w:r>
          <w:instrText xml:space="preserve"> PAGE   \* MERGEFORMAT </w:instrText>
        </w:r>
        <w:r>
          <w:fldChar w:fldCharType="separate"/>
        </w:r>
        <w:r w:rsidR="008B59E3">
          <w:rPr>
            <w:noProof/>
          </w:rPr>
          <w:t>9</w:t>
        </w:r>
        <w:r>
          <w:rPr>
            <w:noProof/>
          </w:rPr>
          <w:fldChar w:fldCharType="end"/>
        </w:r>
      </w:p>
    </w:sdtContent>
  </w:sdt>
  <w:p w:rsidR="00D778DE" w:rsidRDefault="00D77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157" w:rsidRDefault="00B23157" w:rsidP="00F31507">
      <w:pPr>
        <w:spacing w:after="0" w:line="240" w:lineRule="auto"/>
      </w:pPr>
      <w:r>
        <w:separator/>
      </w:r>
    </w:p>
  </w:footnote>
  <w:footnote w:type="continuationSeparator" w:id="0">
    <w:p w:rsidR="00B23157" w:rsidRDefault="00B23157" w:rsidP="00F31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DE" w:rsidRDefault="008B59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1954" o:spid="_x0000_s2050"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8DE" w:rsidRDefault="008B59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811953" o:spid="_x0000_s2049"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48FA"/>
    <w:multiLevelType w:val="hybridMultilevel"/>
    <w:tmpl w:val="E640C952"/>
    <w:lvl w:ilvl="0" w:tplc="827C3718">
      <w:numFmt w:val="bullet"/>
      <w:lvlText w:val="-"/>
      <w:lvlJc w:val="left"/>
      <w:pPr>
        <w:ind w:left="720" w:hanging="360"/>
      </w:pPr>
      <w:rPr>
        <w:rFonts w:ascii="Arial" w:eastAsiaTheme="minorHAnsi"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0936ADD"/>
    <w:multiLevelType w:val="hybridMultilevel"/>
    <w:tmpl w:val="CC72EE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81E504D"/>
    <w:multiLevelType w:val="hybridMultilevel"/>
    <w:tmpl w:val="F68E6730"/>
    <w:lvl w:ilvl="0" w:tplc="827C371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BBC7651"/>
    <w:multiLevelType w:val="hybridMultilevel"/>
    <w:tmpl w:val="8646B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3955D9C"/>
    <w:multiLevelType w:val="hybridMultilevel"/>
    <w:tmpl w:val="D1CAAE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6E13F9"/>
    <w:rsid w:val="00000EB8"/>
    <w:rsid w:val="00003140"/>
    <w:rsid w:val="00003F48"/>
    <w:rsid w:val="000057A1"/>
    <w:rsid w:val="00007516"/>
    <w:rsid w:val="00012278"/>
    <w:rsid w:val="00027272"/>
    <w:rsid w:val="00033AAD"/>
    <w:rsid w:val="00033F87"/>
    <w:rsid w:val="0005330B"/>
    <w:rsid w:val="00053807"/>
    <w:rsid w:val="00055BCF"/>
    <w:rsid w:val="00062E76"/>
    <w:rsid w:val="00062F99"/>
    <w:rsid w:val="00063419"/>
    <w:rsid w:val="00071926"/>
    <w:rsid w:val="00076A50"/>
    <w:rsid w:val="00082CC4"/>
    <w:rsid w:val="00086E3A"/>
    <w:rsid w:val="00090C34"/>
    <w:rsid w:val="000911F4"/>
    <w:rsid w:val="00091985"/>
    <w:rsid w:val="000A7F26"/>
    <w:rsid w:val="000D4942"/>
    <w:rsid w:val="000D6C3C"/>
    <w:rsid w:val="000E16C3"/>
    <w:rsid w:val="000E17B2"/>
    <w:rsid w:val="000E4511"/>
    <w:rsid w:val="000E68D8"/>
    <w:rsid w:val="000F2193"/>
    <w:rsid w:val="000F5D70"/>
    <w:rsid w:val="000F652A"/>
    <w:rsid w:val="00101D31"/>
    <w:rsid w:val="00107878"/>
    <w:rsid w:val="00110163"/>
    <w:rsid w:val="001177B0"/>
    <w:rsid w:val="00122D25"/>
    <w:rsid w:val="00136B98"/>
    <w:rsid w:val="00136ED7"/>
    <w:rsid w:val="00141860"/>
    <w:rsid w:val="00147667"/>
    <w:rsid w:val="00162BF3"/>
    <w:rsid w:val="00167757"/>
    <w:rsid w:val="0017162D"/>
    <w:rsid w:val="00182EAA"/>
    <w:rsid w:val="00185F73"/>
    <w:rsid w:val="00195992"/>
    <w:rsid w:val="001A380F"/>
    <w:rsid w:val="001A7622"/>
    <w:rsid w:val="001B6C07"/>
    <w:rsid w:val="001D68B1"/>
    <w:rsid w:val="001E3301"/>
    <w:rsid w:val="001E55FF"/>
    <w:rsid w:val="001F0AC5"/>
    <w:rsid w:val="001F1200"/>
    <w:rsid w:val="001F1A8C"/>
    <w:rsid w:val="00200E89"/>
    <w:rsid w:val="002041CE"/>
    <w:rsid w:val="00205454"/>
    <w:rsid w:val="00206C62"/>
    <w:rsid w:val="002107D1"/>
    <w:rsid w:val="00214B64"/>
    <w:rsid w:val="00215806"/>
    <w:rsid w:val="002165F2"/>
    <w:rsid w:val="00216BFE"/>
    <w:rsid w:val="0021769F"/>
    <w:rsid w:val="00221847"/>
    <w:rsid w:val="002271E9"/>
    <w:rsid w:val="00227D3F"/>
    <w:rsid w:val="00232159"/>
    <w:rsid w:val="00237999"/>
    <w:rsid w:val="00237EC1"/>
    <w:rsid w:val="00244700"/>
    <w:rsid w:val="00255FC5"/>
    <w:rsid w:val="00276180"/>
    <w:rsid w:val="002864D0"/>
    <w:rsid w:val="00286EBE"/>
    <w:rsid w:val="00291180"/>
    <w:rsid w:val="002B18F7"/>
    <w:rsid w:val="002B5013"/>
    <w:rsid w:val="002B6BAD"/>
    <w:rsid w:val="002C40D5"/>
    <w:rsid w:val="002C5C85"/>
    <w:rsid w:val="002D2F2F"/>
    <w:rsid w:val="002D59F7"/>
    <w:rsid w:val="002E3BBF"/>
    <w:rsid w:val="002F35C4"/>
    <w:rsid w:val="002F4228"/>
    <w:rsid w:val="002F423F"/>
    <w:rsid w:val="002F4FB6"/>
    <w:rsid w:val="002F5CD8"/>
    <w:rsid w:val="002F64F0"/>
    <w:rsid w:val="002F6F67"/>
    <w:rsid w:val="00302A07"/>
    <w:rsid w:val="00303351"/>
    <w:rsid w:val="00303C13"/>
    <w:rsid w:val="00304396"/>
    <w:rsid w:val="003242CC"/>
    <w:rsid w:val="0032495F"/>
    <w:rsid w:val="00331B01"/>
    <w:rsid w:val="00333B2C"/>
    <w:rsid w:val="00333C9C"/>
    <w:rsid w:val="00334146"/>
    <w:rsid w:val="003362C2"/>
    <w:rsid w:val="00341DFA"/>
    <w:rsid w:val="00342475"/>
    <w:rsid w:val="00345736"/>
    <w:rsid w:val="00353021"/>
    <w:rsid w:val="00360718"/>
    <w:rsid w:val="00361E07"/>
    <w:rsid w:val="00365A64"/>
    <w:rsid w:val="00370B5C"/>
    <w:rsid w:val="00374828"/>
    <w:rsid w:val="003770E9"/>
    <w:rsid w:val="00386BF4"/>
    <w:rsid w:val="0038763A"/>
    <w:rsid w:val="00391A1E"/>
    <w:rsid w:val="00391E50"/>
    <w:rsid w:val="003C04AF"/>
    <w:rsid w:val="003C1EA5"/>
    <w:rsid w:val="003C1F39"/>
    <w:rsid w:val="003C5F17"/>
    <w:rsid w:val="003D0523"/>
    <w:rsid w:val="003D7C87"/>
    <w:rsid w:val="003D7EA4"/>
    <w:rsid w:val="003E348F"/>
    <w:rsid w:val="003F07E1"/>
    <w:rsid w:val="00413C34"/>
    <w:rsid w:val="00414741"/>
    <w:rsid w:val="00423539"/>
    <w:rsid w:val="00424A10"/>
    <w:rsid w:val="00427251"/>
    <w:rsid w:val="004327DB"/>
    <w:rsid w:val="00442439"/>
    <w:rsid w:val="00443A6F"/>
    <w:rsid w:val="00445538"/>
    <w:rsid w:val="00455C0E"/>
    <w:rsid w:val="0045781D"/>
    <w:rsid w:val="00464376"/>
    <w:rsid w:val="00464EFB"/>
    <w:rsid w:val="00471AB1"/>
    <w:rsid w:val="00472FCC"/>
    <w:rsid w:val="00474B42"/>
    <w:rsid w:val="00492FAC"/>
    <w:rsid w:val="004A2628"/>
    <w:rsid w:val="004A3F36"/>
    <w:rsid w:val="004B0DBB"/>
    <w:rsid w:val="004B228A"/>
    <w:rsid w:val="004B3B2A"/>
    <w:rsid w:val="004B3C5F"/>
    <w:rsid w:val="004C005A"/>
    <w:rsid w:val="004C22B7"/>
    <w:rsid w:val="004C61C1"/>
    <w:rsid w:val="004D1940"/>
    <w:rsid w:val="004D39A5"/>
    <w:rsid w:val="004D7EFF"/>
    <w:rsid w:val="004E185F"/>
    <w:rsid w:val="004E47BE"/>
    <w:rsid w:val="004F5C97"/>
    <w:rsid w:val="004F7F8B"/>
    <w:rsid w:val="00501B3B"/>
    <w:rsid w:val="00511029"/>
    <w:rsid w:val="00514CFD"/>
    <w:rsid w:val="0051626A"/>
    <w:rsid w:val="0052055D"/>
    <w:rsid w:val="0052107C"/>
    <w:rsid w:val="00522526"/>
    <w:rsid w:val="005235EE"/>
    <w:rsid w:val="0052530E"/>
    <w:rsid w:val="0053118F"/>
    <w:rsid w:val="00531C0A"/>
    <w:rsid w:val="005408CF"/>
    <w:rsid w:val="00550A0E"/>
    <w:rsid w:val="00551B3F"/>
    <w:rsid w:val="00554B68"/>
    <w:rsid w:val="005639AF"/>
    <w:rsid w:val="00570B94"/>
    <w:rsid w:val="00577035"/>
    <w:rsid w:val="005827F3"/>
    <w:rsid w:val="00583904"/>
    <w:rsid w:val="00585A10"/>
    <w:rsid w:val="00587443"/>
    <w:rsid w:val="00595E9C"/>
    <w:rsid w:val="005A1111"/>
    <w:rsid w:val="005A4EF6"/>
    <w:rsid w:val="005A622E"/>
    <w:rsid w:val="005B3F48"/>
    <w:rsid w:val="005C3074"/>
    <w:rsid w:val="005C4F19"/>
    <w:rsid w:val="005C5107"/>
    <w:rsid w:val="005D083C"/>
    <w:rsid w:val="005D2986"/>
    <w:rsid w:val="005D2E47"/>
    <w:rsid w:val="005D5067"/>
    <w:rsid w:val="005D6283"/>
    <w:rsid w:val="005E0704"/>
    <w:rsid w:val="005E7E41"/>
    <w:rsid w:val="005F5ABB"/>
    <w:rsid w:val="006002B5"/>
    <w:rsid w:val="0060443C"/>
    <w:rsid w:val="006061FF"/>
    <w:rsid w:val="006063F4"/>
    <w:rsid w:val="006065F5"/>
    <w:rsid w:val="00613B9B"/>
    <w:rsid w:val="00621496"/>
    <w:rsid w:val="00625171"/>
    <w:rsid w:val="006260F5"/>
    <w:rsid w:val="006264E6"/>
    <w:rsid w:val="006331E8"/>
    <w:rsid w:val="0063568C"/>
    <w:rsid w:val="006372C3"/>
    <w:rsid w:val="006446B3"/>
    <w:rsid w:val="006458C7"/>
    <w:rsid w:val="00650703"/>
    <w:rsid w:val="00652894"/>
    <w:rsid w:val="0065401F"/>
    <w:rsid w:val="00656B9B"/>
    <w:rsid w:val="006628C8"/>
    <w:rsid w:val="00664A96"/>
    <w:rsid w:val="0067360B"/>
    <w:rsid w:val="00680411"/>
    <w:rsid w:val="00684441"/>
    <w:rsid w:val="00691C05"/>
    <w:rsid w:val="0069465F"/>
    <w:rsid w:val="006A758C"/>
    <w:rsid w:val="006B3000"/>
    <w:rsid w:val="006B3377"/>
    <w:rsid w:val="006B44EA"/>
    <w:rsid w:val="006B7A98"/>
    <w:rsid w:val="006C049A"/>
    <w:rsid w:val="006C06DE"/>
    <w:rsid w:val="006C0C26"/>
    <w:rsid w:val="006D4BE8"/>
    <w:rsid w:val="006D5614"/>
    <w:rsid w:val="006D79D5"/>
    <w:rsid w:val="006E13F9"/>
    <w:rsid w:val="006F2CE1"/>
    <w:rsid w:val="006F6E3A"/>
    <w:rsid w:val="006F7E5C"/>
    <w:rsid w:val="007045B3"/>
    <w:rsid w:val="00710BCF"/>
    <w:rsid w:val="00711861"/>
    <w:rsid w:val="00714D53"/>
    <w:rsid w:val="0071562A"/>
    <w:rsid w:val="007171AD"/>
    <w:rsid w:val="00717EB9"/>
    <w:rsid w:val="0072058E"/>
    <w:rsid w:val="00720EA6"/>
    <w:rsid w:val="00724434"/>
    <w:rsid w:val="007412AB"/>
    <w:rsid w:val="007433A4"/>
    <w:rsid w:val="00744ADD"/>
    <w:rsid w:val="0074746F"/>
    <w:rsid w:val="007505A5"/>
    <w:rsid w:val="0075377E"/>
    <w:rsid w:val="00753C5D"/>
    <w:rsid w:val="007558D1"/>
    <w:rsid w:val="00760977"/>
    <w:rsid w:val="00761223"/>
    <w:rsid w:val="00764548"/>
    <w:rsid w:val="00764C26"/>
    <w:rsid w:val="00771DBB"/>
    <w:rsid w:val="0077393D"/>
    <w:rsid w:val="00791D1D"/>
    <w:rsid w:val="007923D8"/>
    <w:rsid w:val="00795622"/>
    <w:rsid w:val="00796744"/>
    <w:rsid w:val="00796A3D"/>
    <w:rsid w:val="00796C01"/>
    <w:rsid w:val="007A7B46"/>
    <w:rsid w:val="007A7C72"/>
    <w:rsid w:val="007B0B44"/>
    <w:rsid w:val="007B73ED"/>
    <w:rsid w:val="007C043D"/>
    <w:rsid w:val="007C0919"/>
    <w:rsid w:val="007D3D52"/>
    <w:rsid w:val="007D5D31"/>
    <w:rsid w:val="007D6583"/>
    <w:rsid w:val="007E0774"/>
    <w:rsid w:val="007E47EE"/>
    <w:rsid w:val="007E7A2C"/>
    <w:rsid w:val="007F0A06"/>
    <w:rsid w:val="007F1002"/>
    <w:rsid w:val="007F5396"/>
    <w:rsid w:val="00801AFC"/>
    <w:rsid w:val="0080758D"/>
    <w:rsid w:val="00811741"/>
    <w:rsid w:val="00814DAA"/>
    <w:rsid w:val="00817327"/>
    <w:rsid w:val="00817C5F"/>
    <w:rsid w:val="00820EA2"/>
    <w:rsid w:val="008232E6"/>
    <w:rsid w:val="00825986"/>
    <w:rsid w:val="00826B97"/>
    <w:rsid w:val="0082740D"/>
    <w:rsid w:val="00827CA2"/>
    <w:rsid w:val="00831A27"/>
    <w:rsid w:val="00832348"/>
    <w:rsid w:val="008657E9"/>
    <w:rsid w:val="008710C1"/>
    <w:rsid w:val="00871302"/>
    <w:rsid w:val="008729E5"/>
    <w:rsid w:val="008751C2"/>
    <w:rsid w:val="00895880"/>
    <w:rsid w:val="00895DA2"/>
    <w:rsid w:val="008A3053"/>
    <w:rsid w:val="008A6A38"/>
    <w:rsid w:val="008A7927"/>
    <w:rsid w:val="008B01CE"/>
    <w:rsid w:val="008B02F3"/>
    <w:rsid w:val="008B1BE0"/>
    <w:rsid w:val="008B2077"/>
    <w:rsid w:val="008B561B"/>
    <w:rsid w:val="008B59E3"/>
    <w:rsid w:val="008C1F00"/>
    <w:rsid w:val="008C5E38"/>
    <w:rsid w:val="008C65C4"/>
    <w:rsid w:val="008D0520"/>
    <w:rsid w:val="008D6113"/>
    <w:rsid w:val="008E690E"/>
    <w:rsid w:val="008E7C49"/>
    <w:rsid w:val="008F05D9"/>
    <w:rsid w:val="008F515D"/>
    <w:rsid w:val="008F537C"/>
    <w:rsid w:val="009019B3"/>
    <w:rsid w:val="00913944"/>
    <w:rsid w:val="00916446"/>
    <w:rsid w:val="0091697E"/>
    <w:rsid w:val="00921A4D"/>
    <w:rsid w:val="00932E33"/>
    <w:rsid w:val="009349EA"/>
    <w:rsid w:val="00942797"/>
    <w:rsid w:val="00945A02"/>
    <w:rsid w:val="0094796B"/>
    <w:rsid w:val="00954765"/>
    <w:rsid w:val="00963143"/>
    <w:rsid w:val="0096794F"/>
    <w:rsid w:val="00967B4D"/>
    <w:rsid w:val="009712B6"/>
    <w:rsid w:val="009775EB"/>
    <w:rsid w:val="00982871"/>
    <w:rsid w:val="00984BEC"/>
    <w:rsid w:val="00985A20"/>
    <w:rsid w:val="00993156"/>
    <w:rsid w:val="00995524"/>
    <w:rsid w:val="009A4327"/>
    <w:rsid w:val="009B41EA"/>
    <w:rsid w:val="009C29E8"/>
    <w:rsid w:val="009C434B"/>
    <w:rsid w:val="009C577F"/>
    <w:rsid w:val="009C7EBA"/>
    <w:rsid w:val="009D041B"/>
    <w:rsid w:val="009D3D67"/>
    <w:rsid w:val="009D41D3"/>
    <w:rsid w:val="009D4AF9"/>
    <w:rsid w:val="009E36EC"/>
    <w:rsid w:val="009E50F7"/>
    <w:rsid w:val="009F136A"/>
    <w:rsid w:val="009F23D0"/>
    <w:rsid w:val="00A02851"/>
    <w:rsid w:val="00A07E38"/>
    <w:rsid w:val="00A13583"/>
    <w:rsid w:val="00A216E5"/>
    <w:rsid w:val="00A22B9A"/>
    <w:rsid w:val="00A22C54"/>
    <w:rsid w:val="00A25572"/>
    <w:rsid w:val="00A2736E"/>
    <w:rsid w:val="00A32C98"/>
    <w:rsid w:val="00A36682"/>
    <w:rsid w:val="00A36D75"/>
    <w:rsid w:val="00A43AE9"/>
    <w:rsid w:val="00A62224"/>
    <w:rsid w:val="00A64100"/>
    <w:rsid w:val="00A735E6"/>
    <w:rsid w:val="00A74CF1"/>
    <w:rsid w:val="00A879EC"/>
    <w:rsid w:val="00A90B45"/>
    <w:rsid w:val="00AB2EDD"/>
    <w:rsid w:val="00AB64D0"/>
    <w:rsid w:val="00AC03F7"/>
    <w:rsid w:val="00AD2E9E"/>
    <w:rsid w:val="00B10E55"/>
    <w:rsid w:val="00B11C05"/>
    <w:rsid w:val="00B202B9"/>
    <w:rsid w:val="00B210B5"/>
    <w:rsid w:val="00B23157"/>
    <w:rsid w:val="00B433E8"/>
    <w:rsid w:val="00B43E8D"/>
    <w:rsid w:val="00B447AE"/>
    <w:rsid w:val="00B467A5"/>
    <w:rsid w:val="00B54032"/>
    <w:rsid w:val="00B54150"/>
    <w:rsid w:val="00B5504E"/>
    <w:rsid w:val="00B5737C"/>
    <w:rsid w:val="00B64B39"/>
    <w:rsid w:val="00B73495"/>
    <w:rsid w:val="00B77C73"/>
    <w:rsid w:val="00B904C3"/>
    <w:rsid w:val="00B93899"/>
    <w:rsid w:val="00B95F6B"/>
    <w:rsid w:val="00BA08FF"/>
    <w:rsid w:val="00BA555A"/>
    <w:rsid w:val="00BA5DF1"/>
    <w:rsid w:val="00BB6CE6"/>
    <w:rsid w:val="00BB78CE"/>
    <w:rsid w:val="00BB7F46"/>
    <w:rsid w:val="00BC0275"/>
    <w:rsid w:val="00BC698E"/>
    <w:rsid w:val="00BC6CC5"/>
    <w:rsid w:val="00BE2E21"/>
    <w:rsid w:val="00BE7516"/>
    <w:rsid w:val="00BF5137"/>
    <w:rsid w:val="00BF635A"/>
    <w:rsid w:val="00C00707"/>
    <w:rsid w:val="00C025B0"/>
    <w:rsid w:val="00C1233C"/>
    <w:rsid w:val="00C13B74"/>
    <w:rsid w:val="00C17F8B"/>
    <w:rsid w:val="00C2126A"/>
    <w:rsid w:val="00C2269C"/>
    <w:rsid w:val="00C25521"/>
    <w:rsid w:val="00C3347B"/>
    <w:rsid w:val="00C341FB"/>
    <w:rsid w:val="00C435E8"/>
    <w:rsid w:val="00C45F08"/>
    <w:rsid w:val="00C47671"/>
    <w:rsid w:val="00C5685E"/>
    <w:rsid w:val="00C56D0F"/>
    <w:rsid w:val="00C6029B"/>
    <w:rsid w:val="00C63210"/>
    <w:rsid w:val="00C63382"/>
    <w:rsid w:val="00C64205"/>
    <w:rsid w:val="00C66FA6"/>
    <w:rsid w:val="00C76AF7"/>
    <w:rsid w:val="00C83BE8"/>
    <w:rsid w:val="00C854B8"/>
    <w:rsid w:val="00C90709"/>
    <w:rsid w:val="00C96D72"/>
    <w:rsid w:val="00C97C4C"/>
    <w:rsid w:val="00CB1CA3"/>
    <w:rsid w:val="00CB26B6"/>
    <w:rsid w:val="00CB5437"/>
    <w:rsid w:val="00CB7C10"/>
    <w:rsid w:val="00CB7DE5"/>
    <w:rsid w:val="00CC70B2"/>
    <w:rsid w:val="00CC7FA6"/>
    <w:rsid w:val="00CD6254"/>
    <w:rsid w:val="00CE118D"/>
    <w:rsid w:val="00CE3436"/>
    <w:rsid w:val="00CE6534"/>
    <w:rsid w:val="00CF004B"/>
    <w:rsid w:val="00CF0E29"/>
    <w:rsid w:val="00CF183B"/>
    <w:rsid w:val="00D17A55"/>
    <w:rsid w:val="00D358DD"/>
    <w:rsid w:val="00D41B33"/>
    <w:rsid w:val="00D4656D"/>
    <w:rsid w:val="00D50F8B"/>
    <w:rsid w:val="00D53A4A"/>
    <w:rsid w:val="00D57AAA"/>
    <w:rsid w:val="00D67F06"/>
    <w:rsid w:val="00D714C1"/>
    <w:rsid w:val="00D73FAF"/>
    <w:rsid w:val="00D73FEB"/>
    <w:rsid w:val="00D74381"/>
    <w:rsid w:val="00D76467"/>
    <w:rsid w:val="00D778DE"/>
    <w:rsid w:val="00D84C76"/>
    <w:rsid w:val="00D87DFB"/>
    <w:rsid w:val="00D90DF1"/>
    <w:rsid w:val="00DA0DF0"/>
    <w:rsid w:val="00DA3853"/>
    <w:rsid w:val="00DB265D"/>
    <w:rsid w:val="00DB6089"/>
    <w:rsid w:val="00DC2F35"/>
    <w:rsid w:val="00DD4845"/>
    <w:rsid w:val="00DD7EC7"/>
    <w:rsid w:val="00DE3092"/>
    <w:rsid w:val="00DE5FFC"/>
    <w:rsid w:val="00DF6D4D"/>
    <w:rsid w:val="00E0548B"/>
    <w:rsid w:val="00E054CA"/>
    <w:rsid w:val="00E10C8C"/>
    <w:rsid w:val="00E13FCD"/>
    <w:rsid w:val="00E14C90"/>
    <w:rsid w:val="00E16A1E"/>
    <w:rsid w:val="00E32726"/>
    <w:rsid w:val="00E41850"/>
    <w:rsid w:val="00E44311"/>
    <w:rsid w:val="00E50ED7"/>
    <w:rsid w:val="00E62CC4"/>
    <w:rsid w:val="00E647F8"/>
    <w:rsid w:val="00E70F03"/>
    <w:rsid w:val="00E739F6"/>
    <w:rsid w:val="00E81787"/>
    <w:rsid w:val="00E8318E"/>
    <w:rsid w:val="00E83F65"/>
    <w:rsid w:val="00E94F95"/>
    <w:rsid w:val="00E96702"/>
    <w:rsid w:val="00EA0FBD"/>
    <w:rsid w:val="00EA14D8"/>
    <w:rsid w:val="00EA721D"/>
    <w:rsid w:val="00EB68C7"/>
    <w:rsid w:val="00EB72E7"/>
    <w:rsid w:val="00EC3C35"/>
    <w:rsid w:val="00EC6697"/>
    <w:rsid w:val="00ED134F"/>
    <w:rsid w:val="00ED2746"/>
    <w:rsid w:val="00EE14FD"/>
    <w:rsid w:val="00EF1741"/>
    <w:rsid w:val="00EF45FF"/>
    <w:rsid w:val="00EF627B"/>
    <w:rsid w:val="00EF7523"/>
    <w:rsid w:val="00F04A8C"/>
    <w:rsid w:val="00F0613E"/>
    <w:rsid w:val="00F1270B"/>
    <w:rsid w:val="00F12ED9"/>
    <w:rsid w:val="00F201E8"/>
    <w:rsid w:val="00F2766A"/>
    <w:rsid w:val="00F27C98"/>
    <w:rsid w:val="00F302E0"/>
    <w:rsid w:val="00F31507"/>
    <w:rsid w:val="00F40CDC"/>
    <w:rsid w:val="00F47120"/>
    <w:rsid w:val="00F50025"/>
    <w:rsid w:val="00F53B2A"/>
    <w:rsid w:val="00F57BFF"/>
    <w:rsid w:val="00F62C8A"/>
    <w:rsid w:val="00F64E55"/>
    <w:rsid w:val="00F74FAF"/>
    <w:rsid w:val="00F77FE3"/>
    <w:rsid w:val="00F94913"/>
    <w:rsid w:val="00FA415C"/>
    <w:rsid w:val="00FA741A"/>
    <w:rsid w:val="00FB016D"/>
    <w:rsid w:val="00FB4C7E"/>
    <w:rsid w:val="00FB50F4"/>
    <w:rsid w:val="00FC09B4"/>
    <w:rsid w:val="00FC36F9"/>
    <w:rsid w:val="00FC4CCB"/>
    <w:rsid w:val="00FF27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46"/>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F31507"/>
    <w:rPr>
      <w:vertAlign w:val="superscript"/>
    </w:rPr>
  </w:style>
  <w:style w:type="character" w:customStyle="1" w:styleId="st">
    <w:name w:val="st"/>
    <w:basedOn w:val="DefaultParagraphFont"/>
    <w:rsid w:val="00F31507"/>
  </w:style>
  <w:style w:type="character" w:styleId="Emphasis">
    <w:name w:val="Emphasis"/>
    <w:basedOn w:val="DefaultParagraphFont"/>
    <w:uiPriority w:val="20"/>
    <w:qFormat/>
    <w:rsid w:val="00F31507"/>
    <w:rPr>
      <w:i/>
      <w:iCs/>
    </w:rPr>
  </w:style>
  <w:style w:type="paragraph" w:styleId="Header">
    <w:name w:val="header"/>
    <w:basedOn w:val="Normal"/>
    <w:link w:val="HeaderChar"/>
    <w:uiPriority w:val="99"/>
    <w:unhideWhenUsed/>
    <w:rsid w:val="00F31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507"/>
    <w:rPr>
      <w:rFonts w:ascii="Arial" w:hAnsi="Arial"/>
      <w:sz w:val="24"/>
    </w:rPr>
  </w:style>
  <w:style w:type="paragraph" w:styleId="Footer">
    <w:name w:val="footer"/>
    <w:basedOn w:val="Normal"/>
    <w:link w:val="FooterChar"/>
    <w:uiPriority w:val="99"/>
    <w:unhideWhenUsed/>
    <w:rsid w:val="00F31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507"/>
    <w:rPr>
      <w:rFonts w:ascii="Arial" w:hAnsi="Arial"/>
      <w:sz w:val="24"/>
    </w:rPr>
  </w:style>
  <w:style w:type="character" w:styleId="Hyperlink">
    <w:name w:val="Hyperlink"/>
    <w:basedOn w:val="DefaultParagraphFont"/>
    <w:uiPriority w:val="99"/>
    <w:unhideWhenUsed/>
    <w:rsid w:val="008729E5"/>
    <w:rPr>
      <w:color w:val="0000FF" w:themeColor="hyperlink"/>
      <w:u w:val="single"/>
    </w:rPr>
  </w:style>
  <w:style w:type="paragraph" w:styleId="ListParagraph">
    <w:name w:val="List Paragraph"/>
    <w:basedOn w:val="Normal"/>
    <w:uiPriority w:val="34"/>
    <w:qFormat/>
    <w:rsid w:val="00474B42"/>
    <w:pPr>
      <w:ind w:left="720"/>
      <w:contextualSpacing/>
    </w:pPr>
  </w:style>
  <w:style w:type="paragraph" w:styleId="EndnoteText">
    <w:name w:val="endnote text"/>
    <w:basedOn w:val="Normal"/>
    <w:link w:val="EndnoteTextChar"/>
    <w:uiPriority w:val="99"/>
    <w:unhideWhenUsed/>
    <w:rsid w:val="006331E8"/>
    <w:pPr>
      <w:spacing w:after="0" w:line="240" w:lineRule="auto"/>
    </w:pPr>
    <w:rPr>
      <w:sz w:val="20"/>
    </w:rPr>
  </w:style>
  <w:style w:type="character" w:customStyle="1" w:styleId="EndnoteTextChar">
    <w:name w:val="Endnote Text Char"/>
    <w:basedOn w:val="DefaultParagraphFont"/>
    <w:link w:val="EndnoteText"/>
    <w:uiPriority w:val="99"/>
    <w:rsid w:val="006331E8"/>
    <w:rPr>
      <w:rFonts w:ascii="Arial" w:hAnsi="Arial"/>
    </w:rPr>
  </w:style>
  <w:style w:type="paragraph" w:styleId="BalloonText">
    <w:name w:val="Balloon Text"/>
    <w:basedOn w:val="Normal"/>
    <w:link w:val="BalloonTextChar"/>
    <w:uiPriority w:val="99"/>
    <w:semiHidden/>
    <w:unhideWhenUsed/>
    <w:rsid w:val="00A622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24"/>
    <w:rPr>
      <w:rFonts w:ascii="Tahoma" w:hAnsi="Tahoma" w:cs="Tahoma"/>
      <w:sz w:val="16"/>
      <w:szCs w:val="16"/>
    </w:rPr>
  </w:style>
  <w:style w:type="paragraph" w:styleId="NoSpacing">
    <w:name w:val="No Spacing"/>
    <w:uiPriority w:val="1"/>
    <w:qFormat/>
    <w:rsid w:val="00000EB8"/>
    <w:pPr>
      <w:spacing w:after="0" w:line="240" w:lineRule="auto"/>
    </w:pPr>
    <w:rPr>
      <w:rFonts w:ascii="Calibri" w:eastAsia="Calibri" w:hAnsi="Calibri" w:cs="Times New Roman"/>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841851">
      <w:bodyDiv w:val="1"/>
      <w:marLeft w:val="0"/>
      <w:marRight w:val="0"/>
      <w:marTop w:val="0"/>
      <w:marBottom w:val="0"/>
      <w:divBdr>
        <w:top w:val="none" w:sz="0" w:space="0" w:color="auto"/>
        <w:left w:val="none" w:sz="0" w:space="0" w:color="auto"/>
        <w:bottom w:val="none" w:sz="0" w:space="0" w:color="auto"/>
        <w:right w:val="none" w:sz="0" w:space="0" w:color="auto"/>
      </w:divBdr>
      <w:divsChild>
        <w:div w:id="226500712">
          <w:marLeft w:val="0"/>
          <w:marRight w:val="0"/>
          <w:marTop w:val="0"/>
          <w:marBottom w:val="0"/>
          <w:divBdr>
            <w:top w:val="none" w:sz="0" w:space="0" w:color="auto"/>
            <w:left w:val="none" w:sz="0" w:space="0" w:color="auto"/>
            <w:bottom w:val="none" w:sz="0" w:space="0" w:color="auto"/>
            <w:right w:val="none" w:sz="0" w:space="0" w:color="auto"/>
          </w:divBdr>
        </w:div>
        <w:div w:id="1329557483">
          <w:marLeft w:val="0"/>
          <w:marRight w:val="0"/>
          <w:marTop w:val="0"/>
          <w:marBottom w:val="0"/>
          <w:divBdr>
            <w:top w:val="none" w:sz="0" w:space="0" w:color="auto"/>
            <w:left w:val="none" w:sz="0" w:space="0" w:color="auto"/>
            <w:bottom w:val="none" w:sz="0" w:space="0" w:color="auto"/>
            <w:right w:val="none" w:sz="0" w:space="0" w:color="auto"/>
          </w:divBdr>
        </w:div>
        <w:div w:id="1054624845">
          <w:marLeft w:val="0"/>
          <w:marRight w:val="0"/>
          <w:marTop w:val="0"/>
          <w:marBottom w:val="0"/>
          <w:divBdr>
            <w:top w:val="none" w:sz="0" w:space="0" w:color="auto"/>
            <w:left w:val="none" w:sz="0" w:space="0" w:color="auto"/>
            <w:bottom w:val="none" w:sz="0" w:space="0" w:color="auto"/>
            <w:right w:val="none" w:sz="0" w:space="0" w:color="auto"/>
          </w:divBdr>
        </w:div>
        <w:div w:id="1008752951">
          <w:marLeft w:val="0"/>
          <w:marRight w:val="0"/>
          <w:marTop w:val="0"/>
          <w:marBottom w:val="0"/>
          <w:divBdr>
            <w:top w:val="none" w:sz="0" w:space="0" w:color="auto"/>
            <w:left w:val="none" w:sz="0" w:space="0" w:color="auto"/>
            <w:bottom w:val="none" w:sz="0" w:space="0" w:color="auto"/>
            <w:right w:val="none" w:sz="0" w:space="0" w:color="auto"/>
          </w:divBdr>
        </w:div>
        <w:div w:id="1191843901">
          <w:marLeft w:val="0"/>
          <w:marRight w:val="0"/>
          <w:marTop w:val="0"/>
          <w:marBottom w:val="0"/>
          <w:divBdr>
            <w:top w:val="none" w:sz="0" w:space="0" w:color="auto"/>
            <w:left w:val="none" w:sz="0" w:space="0" w:color="auto"/>
            <w:bottom w:val="none" w:sz="0" w:space="0" w:color="auto"/>
            <w:right w:val="none" w:sz="0" w:space="0" w:color="auto"/>
          </w:divBdr>
        </w:div>
        <w:div w:id="1769159460">
          <w:marLeft w:val="0"/>
          <w:marRight w:val="0"/>
          <w:marTop w:val="0"/>
          <w:marBottom w:val="0"/>
          <w:divBdr>
            <w:top w:val="none" w:sz="0" w:space="0" w:color="auto"/>
            <w:left w:val="none" w:sz="0" w:space="0" w:color="auto"/>
            <w:bottom w:val="none" w:sz="0" w:space="0" w:color="auto"/>
            <w:right w:val="none" w:sz="0" w:space="0" w:color="auto"/>
          </w:divBdr>
        </w:div>
        <w:div w:id="2070878109">
          <w:marLeft w:val="0"/>
          <w:marRight w:val="0"/>
          <w:marTop w:val="0"/>
          <w:marBottom w:val="0"/>
          <w:divBdr>
            <w:top w:val="none" w:sz="0" w:space="0" w:color="auto"/>
            <w:left w:val="none" w:sz="0" w:space="0" w:color="auto"/>
            <w:bottom w:val="none" w:sz="0" w:space="0" w:color="auto"/>
            <w:right w:val="none" w:sz="0" w:space="0" w:color="auto"/>
          </w:divBdr>
        </w:div>
        <w:div w:id="1717121776">
          <w:marLeft w:val="0"/>
          <w:marRight w:val="0"/>
          <w:marTop w:val="0"/>
          <w:marBottom w:val="0"/>
          <w:divBdr>
            <w:top w:val="none" w:sz="0" w:space="0" w:color="auto"/>
            <w:left w:val="none" w:sz="0" w:space="0" w:color="auto"/>
            <w:bottom w:val="none" w:sz="0" w:space="0" w:color="auto"/>
            <w:right w:val="none" w:sz="0" w:space="0" w:color="auto"/>
          </w:divBdr>
        </w:div>
      </w:divsChild>
    </w:div>
    <w:div w:id="1681545529">
      <w:bodyDiv w:val="1"/>
      <w:marLeft w:val="0"/>
      <w:marRight w:val="0"/>
      <w:marTop w:val="0"/>
      <w:marBottom w:val="0"/>
      <w:divBdr>
        <w:top w:val="none" w:sz="0" w:space="0" w:color="auto"/>
        <w:left w:val="none" w:sz="0" w:space="0" w:color="auto"/>
        <w:bottom w:val="none" w:sz="0" w:space="0" w:color="auto"/>
        <w:right w:val="none" w:sz="0" w:space="0" w:color="auto"/>
      </w:divBdr>
      <w:divsChild>
        <w:div w:id="674528487">
          <w:marLeft w:val="0"/>
          <w:marRight w:val="0"/>
          <w:marTop w:val="0"/>
          <w:marBottom w:val="0"/>
          <w:divBdr>
            <w:top w:val="none" w:sz="0" w:space="0" w:color="auto"/>
            <w:left w:val="none" w:sz="0" w:space="0" w:color="auto"/>
            <w:bottom w:val="none" w:sz="0" w:space="0" w:color="auto"/>
            <w:right w:val="none" w:sz="0" w:space="0" w:color="auto"/>
          </w:divBdr>
        </w:div>
        <w:div w:id="1573586637">
          <w:marLeft w:val="0"/>
          <w:marRight w:val="0"/>
          <w:marTop w:val="0"/>
          <w:marBottom w:val="0"/>
          <w:divBdr>
            <w:top w:val="none" w:sz="0" w:space="0" w:color="auto"/>
            <w:left w:val="none" w:sz="0" w:space="0" w:color="auto"/>
            <w:bottom w:val="none" w:sz="0" w:space="0" w:color="auto"/>
            <w:right w:val="none" w:sz="0" w:space="0" w:color="auto"/>
          </w:divBdr>
        </w:div>
        <w:div w:id="1891729195">
          <w:marLeft w:val="0"/>
          <w:marRight w:val="0"/>
          <w:marTop w:val="0"/>
          <w:marBottom w:val="0"/>
          <w:divBdr>
            <w:top w:val="none" w:sz="0" w:space="0" w:color="auto"/>
            <w:left w:val="none" w:sz="0" w:space="0" w:color="auto"/>
            <w:bottom w:val="none" w:sz="0" w:space="0" w:color="auto"/>
            <w:right w:val="none" w:sz="0" w:space="0" w:color="auto"/>
          </w:divBdr>
        </w:div>
        <w:div w:id="1408721142">
          <w:marLeft w:val="0"/>
          <w:marRight w:val="0"/>
          <w:marTop w:val="0"/>
          <w:marBottom w:val="0"/>
          <w:divBdr>
            <w:top w:val="none" w:sz="0" w:space="0" w:color="auto"/>
            <w:left w:val="none" w:sz="0" w:space="0" w:color="auto"/>
            <w:bottom w:val="none" w:sz="0" w:space="0" w:color="auto"/>
            <w:right w:val="none" w:sz="0" w:space="0" w:color="auto"/>
          </w:divBdr>
        </w:div>
        <w:div w:id="1913150910">
          <w:marLeft w:val="0"/>
          <w:marRight w:val="0"/>
          <w:marTop w:val="0"/>
          <w:marBottom w:val="0"/>
          <w:divBdr>
            <w:top w:val="none" w:sz="0" w:space="0" w:color="auto"/>
            <w:left w:val="none" w:sz="0" w:space="0" w:color="auto"/>
            <w:bottom w:val="none" w:sz="0" w:space="0" w:color="auto"/>
            <w:right w:val="none" w:sz="0" w:space="0" w:color="auto"/>
          </w:divBdr>
        </w:div>
      </w:divsChild>
    </w:div>
    <w:div w:id="19216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dywhys.ie" TargetMode="External"/><Relationship Id="rId4" Type="http://schemas.microsoft.com/office/2007/relationships/stylesWithEffects" Target="stylesWithEffects.xml"/><Relationship Id="rId9" Type="http://schemas.openxmlformats.org/officeDocument/2006/relationships/hyperlink" Target="mailto:communications@bodywhys.ie"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psychotherapycouncil.ie/wp-content/uploads/2016/07/ICP-Position-Paper-January-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3D0FF-F2D5-4497-A2FC-3FD50A70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Officer</dc:creator>
  <cp:lastModifiedBy>Bodywhys Communications Officer</cp:lastModifiedBy>
  <cp:revision>171</cp:revision>
  <cp:lastPrinted>2016-11-14T12:36:00Z</cp:lastPrinted>
  <dcterms:created xsi:type="dcterms:W3CDTF">2016-11-14T11:34:00Z</dcterms:created>
  <dcterms:modified xsi:type="dcterms:W3CDTF">2016-11-30T12:34:00Z</dcterms:modified>
</cp:coreProperties>
</file>